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E93EA" w14:textId="08F48A7A" w:rsidR="00257314" w:rsidRDefault="0051738D" w:rsidP="0034098E">
      <w:pPr>
        <w:spacing w:after="0" w:line="240" w:lineRule="auto"/>
        <w:rPr>
          <w:b/>
          <w:color w:val="ED7D31" w:themeColor="accent2"/>
        </w:rPr>
      </w:pPr>
      <w:r w:rsidRPr="00257314">
        <w:rPr>
          <w:b/>
          <w:color w:val="ED7D31" w:themeColor="accent2"/>
        </w:rPr>
        <w:t>PROGRAMUL EDUCAȚIE ȘI OCUPARE 2021-2027</w:t>
      </w:r>
    </w:p>
    <w:p w14:paraId="752623B9" w14:textId="77777777" w:rsidR="00257314" w:rsidRPr="00257314" w:rsidRDefault="00257314" w:rsidP="00257314">
      <w:pPr>
        <w:spacing w:after="0" w:line="240" w:lineRule="auto"/>
        <w:rPr>
          <w:sz w:val="20"/>
          <w:szCs w:val="20"/>
        </w:rPr>
      </w:pPr>
      <w:r w:rsidRPr="00257314">
        <w:rPr>
          <w:sz w:val="20"/>
          <w:szCs w:val="20"/>
        </w:rPr>
        <w:t>Prioritate: P01 „Modernizarea instituțiilor pieței muncii“</w:t>
      </w:r>
    </w:p>
    <w:p w14:paraId="3F089C08" w14:textId="53356C83" w:rsidR="00257314" w:rsidRDefault="00257314" w:rsidP="00257314">
      <w:pPr>
        <w:spacing w:after="0" w:line="240" w:lineRule="auto"/>
        <w:rPr>
          <w:sz w:val="20"/>
          <w:szCs w:val="20"/>
        </w:rPr>
      </w:pPr>
      <w:r w:rsidRPr="00257314">
        <w:rPr>
          <w:sz w:val="20"/>
          <w:szCs w:val="20"/>
        </w:rPr>
        <w:t>Obiectiv specific: ESO4.2 „Modernizarea instituțiilor și a serviciilor pieței muncii pentru ca acestea să evalueze și să anticipeze necesitățile în materie de competențe, să asigure o asistență promptă și personalizată și să sprijine corelarea cererii și a ofertei, tranzițiile și mobilitatea pe piața muncii (FSE+)“</w:t>
      </w:r>
    </w:p>
    <w:p w14:paraId="12DEF308" w14:textId="0D1F347A" w:rsidR="00343F1D" w:rsidRDefault="0034098E" w:rsidP="00257314">
      <w:pPr>
        <w:spacing w:after="0" w:line="240" w:lineRule="auto"/>
        <w:jc w:val="both"/>
        <w:rPr>
          <w:sz w:val="20"/>
          <w:szCs w:val="20"/>
        </w:rPr>
      </w:pPr>
      <w:r w:rsidRPr="00257314">
        <w:rPr>
          <w:sz w:val="20"/>
          <w:szCs w:val="20"/>
        </w:rPr>
        <w:t xml:space="preserve">Cod proiect: </w:t>
      </w:r>
      <w:r w:rsidR="00343F1D" w:rsidRPr="00343F1D">
        <w:rPr>
          <w:sz w:val="20"/>
          <w:szCs w:val="20"/>
        </w:rPr>
        <w:t>PEO/48/PEO_P1/OP4/ESO4.2/PEO_A7</w:t>
      </w:r>
      <w:r w:rsidR="00343F1D">
        <w:rPr>
          <w:sz w:val="20"/>
          <w:szCs w:val="20"/>
        </w:rPr>
        <w:t>/309187</w:t>
      </w:r>
    </w:p>
    <w:p w14:paraId="7F3A8B6D" w14:textId="41DB6FA0" w:rsidR="00D01B5D" w:rsidRDefault="0034098E" w:rsidP="00257314">
      <w:pPr>
        <w:spacing w:after="0" w:line="240" w:lineRule="auto"/>
        <w:jc w:val="both"/>
        <w:rPr>
          <w:sz w:val="20"/>
          <w:szCs w:val="20"/>
        </w:rPr>
      </w:pPr>
      <w:r w:rsidRPr="00257314">
        <w:rPr>
          <w:sz w:val="20"/>
          <w:szCs w:val="20"/>
        </w:rPr>
        <w:t>Titlu Proiect</w:t>
      </w:r>
      <w:r w:rsidRPr="00AC349E">
        <w:rPr>
          <w:sz w:val="20"/>
          <w:szCs w:val="20"/>
        </w:rPr>
        <w:t xml:space="preserve">: </w:t>
      </w:r>
      <w:r w:rsidR="00343F1D" w:rsidRPr="00AC349E">
        <w:rPr>
          <w:sz w:val="20"/>
          <w:szCs w:val="20"/>
        </w:rPr>
        <w:t>Dialog social și parteneriate pentru Ocupare și Formare</w:t>
      </w:r>
    </w:p>
    <w:p w14:paraId="3A9C8983" w14:textId="77777777" w:rsidR="00EA1574" w:rsidRDefault="00EA1574" w:rsidP="00257314">
      <w:pPr>
        <w:spacing w:after="0" w:line="240" w:lineRule="auto"/>
        <w:jc w:val="both"/>
        <w:rPr>
          <w:sz w:val="20"/>
          <w:szCs w:val="20"/>
        </w:rPr>
      </w:pPr>
    </w:p>
    <w:p w14:paraId="1383ACC2" w14:textId="77777777" w:rsidR="00EA1574" w:rsidRDefault="00EA1574" w:rsidP="00257314">
      <w:pPr>
        <w:spacing w:after="0" w:line="240" w:lineRule="auto"/>
        <w:jc w:val="both"/>
        <w:rPr>
          <w:sz w:val="20"/>
          <w:szCs w:val="20"/>
        </w:rPr>
      </w:pPr>
    </w:p>
    <w:p w14:paraId="0978313D" w14:textId="3BB8CFC9" w:rsidR="00E12EB5" w:rsidRDefault="00E12EB5" w:rsidP="009C4E96">
      <w:pPr>
        <w:spacing w:after="0" w:line="240" w:lineRule="auto"/>
        <w:jc w:val="center"/>
        <w:rPr>
          <w:b/>
          <w:bCs/>
          <w:sz w:val="28"/>
          <w:szCs w:val="28"/>
        </w:rPr>
      </w:pPr>
      <w:r w:rsidRPr="00E12EB5">
        <w:rPr>
          <w:b/>
          <w:bCs/>
          <w:sz w:val="28"/>
          <w:szCs w:val="28"/>
        </w:rPr>
        <w:t>Politici de ocupare a forței de muncă</w:t>
      </w:r>
    </w:p>
    <w:p w14:paraId="7A06C2C1" w14:textId="77777777" w:rsidR="00E12EB5" w:rsidRPr="00E12EB5" w:rsidRDefault="00E12EB5" w:rsidP="00257314">
      <w:pPr>
        <w:spacing w:after="0" w:line="240" w:lineRule="auto"/>
        <w:jc w:val="both"/>
        <w:rPr>
          <w:b/>
          <w:bCs/>
          <w:sz w:val="28"/>
          <w:szCs w:val="28"/>
        </w:rPr>
      </w:pPr>
    </w:p>
    <w:p w14:paraId="6CD7185F" w14:textId="0D46DC2A" w:rsidR="00E12EB5" w:rsidRDefault="00E12EB5" w:rsidP="00257314">
      <w:pPr>
        <w:spacing w:after="0" w:line="240" w:lineRule="auto"/>
        <w:jc w:val="both"/>
        <w:rPr>
          <w:sz w:val="20"/>
          <w:szCs w:val="20"/>
        </w:rPr>
      </w:pPr>
      <w:r>
        <w:rPr>
          <w:sz w:val="20"/>
          <w:szCs w:val="20"/>
        </w:rPr>
        <w:t>P</w:t>
      </w:r>
      <w:r w:rsidRPr="00E12EB5">
        <w:rPr>
          <w:sz w:val="20"/>
          <w:szCs w:val="20"/>
        </w:rPr>
        <w:t>oliticile de ocupare a forței de muncă se referă la setul de măsuri și strategii implementate de guverne și organizații pentru a asigura integrarea eficientă a indivizilor în piața muncii. Aceste politici sunt esențiale pentru reducerea șomajului, creșterea ocupării și îmbunătățirea calității vieții cetățenilor. În contextul schimbărilor economice, sociale și tehnologice rapide, politici eficiente de ocupare a forței de muncă devin o necesitate stringentă pentru dezvoltarea sustenabilă a societății.</w:t>
      </w:r>
    </w:p>
    <w:p w14:paraId="285E0481" w14:textId="77777777" w:rsidR="00E12EB5" w:rsidRDefault="00E12EB5" w:rsidP="00257314">
      <w:pPr>
        <w:spacing w:after="0" w:line="240" w:lineRule="auto"/>
        <w:jc w:val="both"/>
        <w:rPr>
          <w:sz w:val="20"/>
          <w:szCs w:val="20"/>
        </w:rPr>
      </w:pPr>
    </w:p>
    <w:p w14:paraId="4EB77B82" w14:textId="77777777" w:rsidR="00E12EB5" w:rsidRDefault="00E12EB5" w:rsidP="00257314">
      <w:pPr>
        <w:spacing w:after="0" w:line="240" w:lineRule="auto"/>
        <w:jc w:val="both"/>
        <w:rPr>
          <w:sz w:val="20"/>
          <w:szCs w:val="20"/>
        </w:rPr>
      </w:pPr>
    </w:p>
    <w:p w14:paraId="3982A0B9" w14:textId="77777777" w:rsidR="00E12EB5" w:rsidRPr="00E12EB5" w:rsidRDefault="00E12EB5" w:rsidP="00E12EB5">
      <w:pPr>
        <w:spacing w:after="0" w:line="240" w:lineRule="auto"/>
        <w:jc w:val="both"/>
        <w:rPr>
          <w:b/>
          <w:bCs/>
          <w:sz w:val="24"/>
          <w:szCs w:val="24"/>
          <w:lang w:val="fr-FR"/>
        </w:rPr>
      </w:pPr>
      <w:r w:rsidRPr="00E12EB5">
        <w:rPr>
          <w:b/>
          <w:bCs/>
          <w:sz w:val="24"/>
          <w:szCs w:val="24"/>
          <w:lang w:val="fr-FR"/>
        </w:rPr>
        <w:t>Tipuri de politici de ocupare a forței de muncă</w:t>
      </w:r>
    </w:p>
    <w:p w14:paraId="678D25B8" w14:textId="77777777" w:rsidR="00E12EB5" w:rsidRDefault="00E12EB5" w:rsidP="00257314">
      <w:pPr>
        <w:spacing w:after="0" w:line="240" w:lineRule="auto"/>
        <w:jc w:val="both"/>
        <w:rPr>
          <w:sz w:val="20"/>
          <w:szCs w:val="20"/>
        </w:rPr>
      </w:pPr>
    </w:p>
    <w:p w14:paraId="46839529" w14:textId="23043C53" w:rsidR="00E12EB5" w:rsidRPr="00AC349E" w:rsidRDefault="00EA1574" w:rsidP="00E12EB5">
      <w:pPr>
        <w:spacing w:after="0" w:line="240" w:lineRule="auto"/>
        <w:jc w:val="both"/>
        <w:rPr>
          <w:sz w:val="20"/>
          <w:szCs w:val="20"/>
        </w:rPr>
      </w:pPr>
      <w:r w:rsidRPr="00EA1574">
        <w:rPr>
          <w:b/>
          <w:bCs/>
        </w:rPr>
        <w:t xml:space="preserve">                                            </w:t>
      </w:r>
    </w:p>
    <w:p w14:paraId="6DEB1279" w14:textId="77777777" w:rsidR="00E12EB5" w:rsidRDefault="00E12EB5" w:rsidP="00E12EB5">
      <w:pPr>
        <w:pStyle w:val="ListParagraph"/>
        <w:numPr>
          <w:ilvl w:val="0"/>
          <w:numId w:val="1"/>
        </w:numPr>
        <w:spacing w:after="0" w:line="240" w:lineRule="auto"/>
        <w:jc w:val="both"/>
        <w:rPr>
          <w:b/>
          <w:bCs/>
          <w:sz w:val="20"/>
          <w:szCs w:val="20"/>
        </w:rPr>
      </w:pPr>
      <w:r w:rsidRPr="00E12EB5">
        <w:rPr>
          <w:b/>
          <w:bCs/>
          <w:sz w:val="20"/>
          <w:szCs w:val="20"/>
        </w:rPr>
        <w:t>Politici active de ocupare a forței de muncă</w:t>
      </w:r>
    </w:p>
    <w:p w14:paraId="47C2AE99" w14:textId="6601CB8F" w:rsidR="00E12EB5" w:rsidRPr="00E12EB5" w:rsidRDefault="00E12EB5" w:rsidP="00E12EB5">
      <w:pPr>
        <w:spacing w:after="0" w:line="240" w:lineRule="auto"/>
        <w:jc w:val="both"/>
        <w:rPr>
          <w:b/>
          <w:bCs/>
          <w:sz w:val="20"/>
          <w:szCs w:val="20"/>
        </w:rPr>
      </w:pPr>
      <w:r w:rsidRPr="00E12EB5">
        <w:rPr>
          <w:b/>
          <w:bCs/>
          <w:sz w:val="20"/>
          <w:szCs w:val="20"/>
        </w:rPr>
        <w:t>Aceste politici vizează sprijinirea persoanelor aflate în căutarea unui loc de muncă prin diverse măsuri. Printre cele mai importante se numără:</w:t>
      </w:r>
    </w:p>
    <w:p w14:paraId="7631214A" w14:textId="77777777" w:rsidR="00E12EB5" w:rsidRPr="00E12EB5" w:rsidRDefault="00E12EB5" w:rsidP="00E12EB5">
      <w:pPr>
        <w:spacing w:after="0" w:line="240" w:lineRule="auto"/>
        <w:jc w:val="both"/>
        <w:rPr>
          <w:b/>
          <w:bCs/>
          <w:sz w:val="20"/>
          <w:szCs w:val="20"/>
        </w:rPr>
      </w:pPr>
    </w:p>
    <w:p w14:paraId="10D1338E" w14:textId="77777777" w:rsidR="00E12EB5" w:rsidRPr="00E12EB5" w:rsidRDefault="00E12EB5" w:rsidP="00E12EB5">
      <w:pPr>
        <w:spacing w:after="0" w:line="240" w:lineRule="auto"/>
        <w:jc w:val="both"/>
        <w:rPr>
          <w:sz w:val="20"/>
          <w:szCs w:val="20"/>
        </w:rPr>
      </w:pPr>
      <w:r w:rsidRPr="00E12EB5">
        <w:rPr>
          <w:b/>
          <w:bCs/>
          <w:sz w:val="20"/>
          <w:szCs w:val="20"/>
        </w:rPr>
        <w:t>Formarea profesională</w:t>
      </w:r>
      <w:r w:rsidRPr="00E12EB5">
        <w:rPr>
          <w:sz w:val="20"/>
          <w:szCs w:val="20"/>
        </w:rPr>
        <w:t>: Programele de formare profesională sunt esențiale pentru adaptarea forței de muncă la cerințele în continuă schimbare ale pieței. Acestea pot include cursuri de recalificare pentru persoanele care doresc să se schimbe în carieră, dar și programe de perfecționare pentru cei care doresc să își îmbunătățească abilitățile actuale. Furnizarea de formare specifică, în funcție de cerințele sectorului, este crucială pentru asigurarea unei forțe de muncă competente. De asemenea, colaborarea între instituțiile de învățământ și angajatori poate facilita crearea unor curriculumuri relevante și adaptate nevoilor pieței. În final, aceste programe contribuie la creșterea angajabilității indivizilor și la reducerea șomajului.</w:t>
      </w:r>
    </w:p>
    <w:p w14:paraId="44B381B0" w14:textId="77777777" w:rsidR="00E12EB5" w:rsidRPr="00E12EB5" w:rsidRDefault="00E12EB5" w:rsidP="00E12EB5">
      <w:pPr>
        <w:spacing w:after="0" w:line="240" w:lineRule="auto"/>
        <w:jc w:val="both"/>
        <w:rPr>
          <w:sz w:val="20"/>
          <w:szCs w:val="20"/>
        </w:rPr>
      </w:pPr>
    </w:p>
    <w:p w14:paraId="35831222" w14:textId="77777777" w:rsidR="00E12EB5" w:rsidRPr="00E12EB5" w:rsidRDefault="00E12EB5" w:rsidP="00E12EB5">
      <w:pPr>
        <w:spacing w:after="0" w:line="240" w:lineRule="auto"/>
        <w:jc w:val="both"/>
        <w:rPr>
          <w:sz w:val="20"/>
          <w:szCs w:val="20"/>
        </w:rPr>
      </w:pPr>
      <w:r w:rsidRPr="00E12EB5">
        <w:rPr>
          <w:b/>
          <w:bCs/>
          <w:sz w:val="20"/>
          <w:szCs w:val="20"/>
        </w:rPr>
        <w:t>Serviciile de mediere</w:t>
      </w:r>
      <w:r w:rsidRPr="00E12EB5">
        <w:rPr>
          <w:sz w:val="20"/>
          <w:szCs w:val="20"/>
        </w:rPr>
        <w:t>: Agențiile de ocupare a forței de muncă joacă un rol crucial în conectarea angajatorilor cu candidații potriviți. Aceste servicii nu doar că facilitează aplicarea pentru locuri de muncă, dar oferă și consiliere profesională, ajutând persoanele să își identifice abilitățile și să își redacteze CV-urile. În plus, agențiile pot organiza târguri de locuri de muncă și evenimente de networking, unde participanții pot interacționa direct cu angajatorii. Acest tip de mediere ajută la eficientizarea procesului de angajare, reducând timpul necesar pentru a găsi un loc de muncă. Totodată, prin sprijinul oferit, se îmbunătățește motivația și încrederea în sine a persoanelor în căutarea unui loc de muncă.</w:t>
      </w:r>
    </w:p>
    <w:p w14:paraId="005B69FD" w14:textId="77777777" w:rsidR="00E12EB5" w:rsidRPr="00E12EB5" w:rsidRDefault="00E12EB5" w:rsidP="00E12EB5">
      <w:pPr>
        <w:spacing w:after="0" w:line="240" w:lineRule="auto"/>
        <w:jc w:val="both"/>
        <w:rPr>
          <w:sz w:val="20"/>
          <w:szCs w:val="20"/>
        </w:rPr>
      </w:pPr>
    </w:p>
    <w:p w14:paraId="4DFDB4E6" w14:textId="77777777" w:rsidR="00E12EB5" w:rsidRPr="00E12EB5" w:rsidRDefault="00E12EB5" w:rsidP="00E12EB5">
      <w:pPr>
        <w:spacing w:after="0" w:line="240" w:lineRule="auto"/>
        <w:jc w:val="both"/>
        <w:rPr>
          <w:sz w:val="20"/>
          <w:szCs w:val="20"/>
        </w:rPr>
      </w:pPr>
      <w:r w:rsidRPr="00E12EB5">
        <w:rPr>
          <w:b/>
          <w:bCs/>
          <w:sz w:val="20"/>
          <w:szCs w:val="20"/>
        </w:rPr>
        <w:t>Stimulente financiare</w:t>
      </w:r>
      <w:r w:rsidRPr="00E12EB5">
        <w:rPr>
          <w:sz w:val="20"/>
          <w:szCs w:val="20"/>
        </w:rPr>
        <w:t>: Guvernele pot implementa diverse stimulente financiare pentru a încuraja angajarea, atât a șomerilor, cât și a grupurilor vulnerabile. Aceste stimulente pot lua forma subvențiilor salariale, care reduc costurile pentru angajatori, făcând angajarea mai atractivă. De asemenea, scutirile de taxe pentru angajatori care recrutează din rândul șomerilor pot stimula crearea de locuri de muncă. Este important ca aceste stimulente să fie bine gândite și să se potrivească cu nevoile pieței de muncă, pentru a evita dependența de ajutoare financiare. Prin urmare, stimulentele potrivite pot conduce la o integrare mai rapidă a forței de muncă în economie.</w:t>
      </w:r>
    </w:p>
    <w:p w14:paraId="1911B8EB" w14:textId="77777777" w:rsidR="00E12EB5" w:rsidRPr="00E12EB5" w:rsidRDefault="00E12EB5" w:rsidP="00E12EB5">
      <w:pPr>
        <w:spacing w:after="0" w:line="240" w:lineRule="auto"/>
        <w:jc w:val="both"/>
        <w:rPr>
          <w:sz w:val="20"/>
          <w:szCs w:val="20"/>
        </w:rPr>
      </w:pPr>
    </w:p>
    <w:p w14:paraId="57EFDDAC" w14:textId="10FBA49F" w:rsidR="00E12EB5" w:rsidRDefault="00E12EB5" w:rsidP="00E12EB5">
      <w:pPr>
        <w:pStyle w:val="ListParagraph"/>
        <w:numPr>
          <w:ilvl w:val="0"/>
          <w:numId w:val="1"/>
        </w:numPr>
        <w:spacing w:after="0" w:line="240" w:lineRule="auto"/>
        <w:jc w:val="both"/>
        <w:rPr>
          <w:b/>
          <w:bCs/>
          <w:sz w:val="20"/>
          <w:szCs w:val="20"/>
        </w:rPr>
      </w:pPr>
      <w:r w:rsidRPr="00E12EB5">
        <w:rPr>
          <w:b/>
          <w:bCs/>
          <w:sz w:val="20"/>
          <w:szCs w:val="20"/>
        </w:rPr>
        <w:t>Politici passive de ocupare a forței de muncă</w:t>
      </w:r>
    </w:p>
    <w:p w14:paraId="0DA3801B" w14:textId="3F0668C4" w:rsidR="00E12EB5" w:rsidRPr="00E12EB5" w:rsidRDefault="00E12EB5" w:rsidP="00E12EB5">
      <w:pPr>
        <w:spacing w:after="0" w:line="240" w:lineRule="auto"/>
        <w:jc w:val="both"/>
        <w:rPr>
          <w:b/>
          <w:bCs/>
          <w:sz w:val="20"/>
          <w:szCs w:val="20"/>
        </w:rPr>
      </w:pPr>
      <w:r w:rsidRPr="00E12EB5">
        <w:rPr>
          <w:b/>
          <w:bCs/>
          <w:sz w:val="20"/>
          <w:szCs w:val="20"/>
        </w:rPr>
        <w:t>Aceste politici se concentrează pe sprijinul financiar pentru persoanele care nu își pot găsi un loc de muncă. Printre acestea se numără:</w:t>
      </w:r>
    </w:p>
    <w:p w14:paraId="77A9FBD1" w14:textId="77777777" w:rsidR="00E12EB5" w:rsidRPr="00E12EB5" w:rsidRDefault="00E12EB5" w:rsidP="00E12EB5">
      <w:pPr>
        <w:spacing w:after="0" w:line="240" w:lineRule="auto"/>
        <w:jc w:val="both"/>
        <w:rPr>
          <w:b/>
          <w:bCs/>
          <w:sz w:val="20"/>
          <w:szCs w:val="20"/>
        </w:rPr>
      </w:pPr>
    </w:p>
    <w:p w14:paraId="2817E235" w14:textId="77777777" w:rsidR="00E12EB5" w:rsidRPr="00E12EB5" w:rsidRDefault="00E12EB5" w:rsidP="00E12EB5">
      <w:pPr>
        <w:spacing w:after="0" w:line="240" w:lineRule="auto"/>
        <w:jc w:val="both"/>
        <w:rPr>
          <w:sz w:val="20"/>
          <w:szCs w:val="20"/>
        </w:rPr>
      </w:pPr>
      <w:r w:rsidRPr="00E12EB5">
        <w:rPr>
          <w:b/>
          <w:bCs/>
          <w:sz w:val="20"/>
          <w:szCs w:val="20"/>
        </w:rPr>
        <w:t>Indemnizațiile de șomaj</w:t>
      </w:r>
      <w:r w:rsidRPr="00E12EB5">
        <w:rPr>
          <w:sz w:val="20"/>
          <w:szCs w:val="20"/>
        </w:rPr>
        <w:t xml:space="preserve">: Acestea reprezintă un suport financiar temporar pentru persoanele care și-au pierdut locul de muncă fără vina lor. Indemnizațiile sunt esențiale pentru a oferi un minim de securitate economică, </w:t>
      </w:r>
      <w:r w:rsidRPr="00E12EB5">
        <w:rPr>
          <w:sz w:val="20"/>
          <w:szCs w:val="20"/>
        </w:rPr>
        <w:lastRenderedPageBreak/>
        <w:t>permițându-le șomerilor să își gestioneze cheltuielile de bază în perioada de căutare a unui nou loc de muncă. De regulă, valoarea și durata indemnizației depind de vechimea în muncă și de contribuțiile anterioare la sistemul de asigurări sociale. Este important ca aceste indemnizații să fie însoțite de măsuri active, cum ar fi consilierea profesională, pentru a încuraja reintegrarea rapidă în câmpul muncii. Astfel, se creează un echilibru între sprijinul financiar și stimularea activității de căutare a unui loc de muncă.</w:t>
      </w:r>
    </w:p>
    <w:p w14:paraId="374DD31C" w14:textId="77777777" w:rsidR="00E12EB5" w:rsidRPr="00E12EB5" w:rsidRDefault="00E12EB5" w:rsidP="00E12EB5">
      <w:pPr>
        <w:spacing w:after="0" w:line="240" w:lineRule="auto"/>
        <w:jc w:val="both"/>
        <w:rPr>
          <w:sz w:val="20"/>
          <w:szCs w:val="20"/>
        </w:rPr>
      </w:pPr>
    </w:p>
    <w:p w14:paraId="3FA8BA6E" w14:textId="77777777" w:rsidR="00E12EB5" w:rsidRPr="00E12EB5" w:rsidRDefault="00E12EB5" w:rsidP="00E12EB5">
      <w:pPr>
        <w:spacing w:after="0" w:line="240" w:lineRule="auto"/>
        <w:jc w:val="both"/>
        <w:rPr>
          <w:sz w:val="20"/>
          <w:szCs w:val="20"/>
        </w:rPr>
      </w:pPr>
      <w:r w:rsidRPr="00E12EB5">
        <w:rPr>
          <w:b/>
          <w:bCs/>
          <w:sz w:val="20"/>
          <w:szCs w:val="20"/>
        </w:rPr>
        <w:t>Asistența socială</w:t>
      </w:r>
      <w:r w:rsidRPr="00E12EB5">
        <w:rPr>
          <w:sz w:val="20"/>
          <w:szCs w:val="20"/>
        </w:rPr>
        <w:t>: Asistența socială este destinată persoanelor care nu îndeplinesc condițiile pentru a beneficia de indemnizația de șomaj, oferindu-le suport minim pentru satisfacerea necesităților de bază. Aceasta poate include ajutoare pentru locuință, alimente sau alte forme de sprijin financiar, esențiale pentru supraviețuirea zilnică. Politicile de asistență socială trebuie să fie bine calibrate pentru a preveni dependența de ajutoare, încurajând în același timp integrarea în piața muncii. De asemenea, este crucial ca beneficiarii acestor ajutoare să aibă acces la programe de formare și consiliere, astfel încât să își îmbunătățească șansele de angajare. O abordare holistică a asistenței sociale poate contribui la reducerea excluziunii sociale și la promovarea unei societăți mai echitabile.</w:t>
      </w:r>
    </w:p>
    <w:p w14:paraId="02B8CA8D" w14:textId="77777777" w:rsidR="00E12EB5" w:rsidRPr="00E12EB5" w:rsidRDefault="00E12EB5" w:rsidP="00E12EB5">
      <w:pPr>
        <w:spacing w:after="0" w:line="240" w:lineRule="auto"/>
        <w:jc w:val="both"/>
        <w:rPr>
          <w:sz w:val="20"/>
          <w:szCs w:val="20"/>
        </w:rPr>
      </w:pPr>
    </w:p>
    <w:p w14:paraId="20EA4468" w14:textId="77777777" w:rsidR="00E12EB5" w:rsidRPr="006D71ED" w:rsidRDefault="00E12EB5" w:rsidP="00E12EB5">
      <w:pPr>
        <w:spacing w:after="0" w:line="240" w:lineRule="auto"/>
        <w:jc w:val="both"/>
        <w:rPr>
          <w:b/>
          <w:bCs/>
          <w:sz w:val="24"/>
          <w:szCs w:val="24"/>
        </w:rPr>
      </w:pPr>
      <w:r w:rsidRPr="006D71ED">
        <w:rPr>
          <w:b/>
          <w:bCs/>
          <w:sz w:val="24"/>
          <w:szCs w:val="24"/>
        </w:rPr>
        <w:t>Impactul politicilor de ocupare a forței de muncă</w:t>
      </w:r>
    </w:p>
    <w:p w14:paraId="3F4B036C" w14:textId="77777777" w:rsidR="00E12EB5" w:rsidRPr="00E12EB5" w:rsidRDefault="00E12EB5" w:rsidP="00E12EB5">
      <w:pPr>
        <w:spacing w:after="0" w:line="240" w:lineRule="auto"/>
        <w:jc w:val="both"/>
        <w:rPr>
          <w:b/>
          <w:bCs/>
          <w:sz w:val="20"/>
          <w:szCs w:val="20"/>
        </w:rPr>
      </w:pPr>
    </w:p>
    <w:p w14:paraId="564F16BB" w14:textId="77777777" w:rsidR="00E12EB5" w:rsidRPr="00E12EB5" w:rsidRDefault="00E12EB5" w:rsidP="00E12EB5">
      <w:pPr>
        <w:spacing w:after="0" w:line="240" w:lineRule="auto"/>
        <w:jc w:val="both"/>
        <w:rPr>
          <w:sz w:val="20"/>
          <w:szCs w:val="20"/>
        </w:rPr>
      </w:pPr>
      <w:r w:rsidRPr="00E12EB5">
        <w:rPr>
          <w:b/>
          <w:bCs/>
          <w:sz w:val="20"/>
          <w:szCs w:val="20"/>
        </w:rPr>
        <w:t>Reducerea șomajului</w:t>
      </w:r>
      <w:r w:rsidRPr="00E12EB5">
        <w:rPr>
          <w:sz w:val="20"/>
          <w:szCs w:val="20"/>
        </w:rPr>
        <w:t>: Implementarea unor politici eficiente de ocupare are un impact direct asupra ratei șomajului. Prin crearea de locuri de muncă și facilitarea accesului la oportunități de angajare, se poate diminua semnificativ numărul persoanelor fără un loc de muncă. Aceasta nu doar că sprijină individul, dar contribuie și la stabilitatea economică a țării, generând venituri fiscale suplimentare și stimulând consumul. În plus, reducerea șomajului contribuie la creșterea încrederii în economie, ceea ce poate atrage investiții externe. Astfel, politicile de ocupare bine implementate au un efect multiplicator asupra întregii economii.</w:t>
      </w:r>
    </w:p>
    <w:p w14:paraId="3327F2AE" w14:textId="77777777" w:rsidR="00E12EB5" w:rsidRPr="00E12EB5" w:rsidRDefault="00E12EB5" w:rsidP="00E12EB5">
      <w:pPr>
        <w:spacing w:after="0" w:line="240" w:lineRule="auto"/>
        <w:jc w:val="both"/>
        <w:rPr>
          <w:sz w:val="20"/>
          <w:szCs w:val="20"/>
        </w:rPr>
      </w:pPr>
    </w:p>
    <w:p w14:paraId="1E95C286" w14:textId="77777777" w:rsidR="00E12EB5" w:rsidRPr="00E12EB5" w:rsidRDefault="00E12EB5" w:rsidP="00E12EB5">
      <w:pPr>
        <w:spacing w:after="0" w:line="240" w:lineRule="auto"/>
        <w:jc w:val="both"/>
        <w:rPr>
          <w:sz w:val="20"/>
          <w:szCs w:val="20"/>
        </w:rPr>
      </w:pPr>
      <w:r w:rsidRPr="00E12EB5">
        <w:rPr>
          <w:b/>
          <w:bCs/>
          <w:sz w:val="20"/>
          <w:szCs w:val="20"/>
        </w:rPr>
        <w:t>Creșterea productivității</w:t>
      </w:r>
      <w:r w:rsidRPr="00E12EB5">
        <w:rPr>
          <w:sz w:val="20"/>
          <w:szCs w:val="20"/>
        </w:rPr>
        <w:t>: O forță de muncă bine pregătită este fundamentală pentru creșterea productivității economice. Investițiile în formarea profesională nu doar că îmbunătățesc competențele angajaților, dar și capacitatea companiilor de a inova și de a se adapta la schimbările de pe piață. O productivitate crescută se traduce în profituri mai mari pentru angajatori, ceea ce poate conduce la reinvestirea acestor fonduri în afaceri, în cercetare și dezvoltare. În plus, o forță de muncă competență contribuie la creșterea calității produselor și serviciilor oferite, ceea ce poate îmbunătăți competitivitatea pe piața internațională. Astfel, politicile de ocupare care vizează formarea și dezvoltarea competențelor sunt esențiale pentru progresul economic.</w:t>
      </w:r>
    </w:p>
    <w:p w14:paraId="725442D4" w14:textId="77777777" w:rsidR="00E12EB5" w:rsidRPr="00E12EB5" w:rsidRDefault="00E12EB5" w:rsidP="00E12EB5">
      <w:pPr>
        <w:spacing w:after="0" w:line="240" w:lineRule="auto"/>
        <w:jc w:val="both"/>
        <w:rPr>
          <w:sz w:val="20"/>
          <w:szCs w:val="20"/>
        </w:rPr>
      </w:pPr>
    </w:p>
    <w:p w14:paraId="2594A90B" w14:textId="77777777" w:rsidR="00E12EB5" w:rsidRPr="00E12EB5" w:rsidRDefault="00E12EB5" w:rsidP="00E12EB5">
      <w:pPr>
        <w:spacing w:after="0" w:line="240" w:lineRule="auto"/>
        <w:jc w:val="both"/>
        <w:rPr>
          <w:sz w:val="20"/>
          <w:szCs w:val="20"/>
        </w:rPr>
      </w:pPr>
      <w:r w:rsidRPr="00E12EB5">
        <w:rPr>
          <w:b/>
          <w:bCs/>
          <w:sz w:val="20"/>
          <w:szCs w:val="20"/>
        </w:rPr>
        <w:t>Îmbunătățirea coeziunii sociale</w:t>
      </w:r>
      <w:r w:rsidRPr="00E12EB5">
        <w:rPr>
          <w:sz w:val="20"/>
          <w:szCs w:val="20"/>
        </w:rPr>
        <w:t>: Politicile de ocupare a forței de muncă contribuie la reducerea inegalităților sociale și economice, promovând integrarea grupurilor vulnerabile. Acest lucru se traduce prin oportunități egale pentru toți cetățenii, indiferent de statutul lor socio-economic sau de alte caracteristici personale. Prin facilitarea accesului la formare și angajare pentru persoanele defavorizate, se pot diminua tensiunile sociale și se poate crea un climat de stabilitate și coeziune în societate. De asemenea, integrarea acestor grupuri în piața muncii contribuie la diversitatea locurilor de muncă, ceea ce poate aduce beneficii suplimentare pentru inovație și creativitate. Astfel, politicile de ocupare nu doar că sprijină economia, dar și construiesc o societate mai justă și mai unită.</w:t>
      </w:r>
    </w:p>
    <w:p w14:paraId="5325BF5F" w14:textId="77777777" w:rsidR="00E12EB5" w:rsidRPr="00E12EB5" w:rsidRDefault="00E12EB5" w:rsidP="00E12EB5">
      <w:pPr>
        <w:spacing w:after="0" w:line="240" w:lineRule="auto"/>
        <w:jc w:val="both"/>
        <w:rPr>
          <w:sz w:val="20"/>
          <w:szCs w:val="20"/>
        </w:rPr>
      </w:pPr>
    </w:p>
    <w:p w14:paraId="6A2B7813" w14:textId="2A70DF85" w:rsidR="00E12EB5" w:rsidRPr="006D71ED" w:rsidRDefault="00E12EB5" w:rsidP="00E12EB5">
      <w:pPr>
        <w:spacing w:after="0" w:line="240" w:lineRule="auto"/>
        <w:jc w:val="both"/>
        <w:rPr>
          <w:b/>
          <w:bCs/>
          <w:sz w:val="24"/>
          <w:szCs w:val="24"/>
        </w:rPr>
      </w:pPr>
      <w:r w:rsidRPr="006D71ED">
        <w:rPr>
          <w:b/>
          <w:bCs/>
          <w:sz w:val="24"/>
          <w:szCs w:val="24"/>
        </w:rPr>
        <w:t>Provocări în implementarea politicilor de ocupare a forței de muncă</w:t>
      </w:r>
    </w:p>
    <w:p w14:paraId="5AB71D2B" w14:textId="77777777" w:rsidR="00E12EB5" w:rsidRPr="006D71ED" w:rsidRDefault="00E12EB5" w:rsidP="00E12EB5">
      <w:pPr>
        <w:spacing w:after="0" w:line="240" w:lineRule="auto"/>
        <w:jc w:val="both"/>
        <w:rPr>
          <w:b/>
          <w:bCs/>
          <w:sz w:val="24"/>
          <w:szCs w:val="24"/>
        </w:rPr>
      </w:pPr>
    </w:p>
    <w:p w14:paraId="20AA6591" w14:textId="77777777" w:rsidR="00E12EB5" w:rsidRPr="00E12EB5" w:rsidRDefault="00E12EB5" w:rsidP="00E12EB5">
      <w:pPr>
        <w:spacing w:after="0" w:line="240" w:lineRule="auto"/>
        <w:jc w:val="both"/>
        <w:rPr>
          <w:sz w:val="20"/>
          <w:szCs w:val="20"/>
        </w:rPr>
      </w:pPr>
      <w:r w:rsidRPr="00E12EB5">
        <w:rPr>
          <w:b/>
          <w:bCs/>
          <w:sz w:val="20"/>
          <w:szCs w:val="20"/>
        </w:rPr>
        <w:t>Schimbările tehnologice rapide</w:t>
      </w:r>
      <w:r w:rsidRPr="00E12EB5">
        <w:rPr>
          <w:sz w:val="20"/>
          <w:szCs w:val="20"/>
        </w:rPr>
        <w:t>: Automatizarea și digitalizarea transformă rapid piața muncii, iar acest lucru poate duce la dispariția locurilor de muncă tradiționale. Angajații trebuie să se adapteze rapid la noile tehnologii, ceea ce impune un proces constant de recalificare și formare. Politicile de ocupare trebuie să răspundă acestei provocări prin programe de formare care să includă abilități digitale și tehnice. În plus, este important ca angajatorii să colaboreze cu instituțiile educaționale pentru a se asigura că tinerii sunt pregătiți pentru viitorul locului de muncă. O strategie proactivă în fața schimbărilor tehnologice poate ajuta la menținerea stabilității pe piața muncii.</w:t>
      </w:r>
    </w:p>
    <w:p w14:paraId="44073E66" w14:textId="77777777" w:rsidR="00E12EB5" w:rsidRPr="00E12EB5" w:rsidRDefault="00E12EB5" w:rsidP="00E12EB5">
      <w:pPr>
        <w:spacing w:after="0" w:line="240" w:lineRule="auto"/>
        <w:jc w:val="both"/>
        <w:rPr>
          <w:sz w:val="20"/>
          <w:szCs w:val="20"/>
        </w:rPr>
      </w:pPr>
    </w:p>
    <w:p w14:paraId="64F196E9" w14:textId="77777777" w:rsidR="00E12EB5" w:rsidRPr="00E12EB5" w:rsidRDefault="00E12EB5" w:rsidP="00E12EB5">
      <w:pPr>
        <w:spacing w:after="0" w:line="240" w:lineRule="auto"/>
        <w:jc w:val="both"/>
        <w:rPr>
          <w:sz w:val="20"/>
          <w:szCs w:val="20"/>
        </w:rPr>
      </w:pPr>
      <w:r w:rsidRPr="00E12EB5">
        <w:rPr>
          <w:b/>
          <w:bCs/>
          <w:sz w:val="20"/>
          <w:szCs w:val="20"/>
        </w:rPr>
        <w:t>Globalizarea:</w:t>
      </w:r>
      <w:r w:rsidRPr="00E12EB5">
        <w:rPr>
          <w:sz w:val="20"/>
          <w:szCs w:val="20"/>
        </w:rPr>
        <w:t xml:space="preserve"> Concurența internațională poate duce la relocarea locurilor de muncă în țări cu costuri mai mici, afectând astfel angajarea în anumite sectoare. Aceasta poate crea presiuni asupra angajatorilor de a reduce costurile, ceea ce poate duce la concedieri sau la scăderea salariilor. Politicile de ocupare trebuie să includă </w:t>
      </w:r>
      <w:r w:rsidRPr="00E12EB5">
        <w:rPr>
          <w:sz w:val="20"/>
          <w:szCs w:val="20"/>
        </w:rPr>
        <w:lastRenderedPageBreak/>
        <w:t>strategii de adaptare la globalizare, cum ar fi sprijinirea inovației și dezvoltării de produse și servicii cu valoare adăugată. De asemenea, este esențial ca guvernele să protejeze locurile de muncă prin reglementări care să asigure condiții echitabile de muncă. O abordare coordonată la nivel național și internațional poate ajuta la menținerea competitivității economice.</w:t>
      </w:r>
    </w:p>
    <w:p w14:paraId="233749E7" w14:textId="77777777" w:rsidR="00E12EB5" w:rsidRPr="00E12EB5" w:rsidRDefault="00E12EB5" w:rsidP="00E12EB5">
      <w:pPr>
        <w:spacing w:after="0" w:line="240" w:lineRule="auto"/>
        <w:jc w:val="both"/>
        <w:rPr>
          <w:sz w:val="20"/>
          <w:szCs w:val="20"/>
        </w:rPr>
      </w:pPr>
    </w:p>
    <w:p w14:paraId="1B1AF3EB" w14:textId="77777777" w:rsidR="00E12EB5" w:rsidRPr="00E12EB5" w:rsidRDefault="00E12EB5" w:rsidP="00E12EB5">
      <w:pPr>
        <w:spacing w:after="0" w:line="240" w:lineRule="auto"/>
        <w:jc w:val="both"/>
        <w:rPr>
          <w:sz w:val="20"/>
          <w:szCs w:val="20"/>
        </w:rPr>
      </w:pPr>
      <w:r w:rsidRPr="00E12EB5">
        <w:rPr>
          <w:b/>
          <w:bCs/>
          <w:sz w:val="20"/>
          <w:szCs w:val="20"/>
        </w:rPr>
        <w:t>Nevoile diverse ale pieței muncii</w:t>
      </w:r>
      <w:r w:rsidRPr="00E12EB5">
        <w:rPr>
          <w:sz w:val="20"/>
          <w:szCs w:val="20"/>
        </w:rPr>
        <w:t>: Există o discrepanță semnificativă între competențele oferite de sistemul educațional și cerințele actuale ale pieței muncii. Aceasta poate duce la un surplus de absolvenți în anumite domenii și la lipsa de specialiști în altele. Politicile de ocupare trebuie să fie corelate cu nevoile economiei, promovând formarea profesională în domenii cu cerere mare, cum ar fi tehnologia informației sau sănătatea. În plus, colaborarea strânsă între angajatori, instituții de învățământ și autorități poate asigura o mai bună aliniere a competențelor dobândite la cerințele pieței. O adaptare continuă a curriculumului educațional este esențială pentru a preveni șomajul structural și a promova o forță de muncă bine pregătită.</w:t>
      </w:r>
    </w:p>
    <w:p w14:paraId="76EC3C10" w14:textId="77777777" w:rsidR="00E12EB5" w:rsidRDefault="00E12EB5" w:rsidP="00E12EB5">
      <w:pPr>
        <w:spacing w:after="0" w:line="240" w:lineRule="auto"/>
        <w:jc w:val="both"/>
        <w:rPr>
          <w:sz w:val="20"/>
          <w:szCs w:val="20"/>
        </w:rPr>
      </w:pPr>
    </w:p>
    <w:p w14:paraId="45346DC1" w14:textId="77777777" w:rsidR="00E12EB5" w:rsidRPr="00E12EB5" w:rsidRDefault="00E12EB5" w:rsidP="00E12EB5">
      <w:pPr>
        <w:spacing w:after="0" w:line="240" w:lineRule="auto"/>
        <w:jc w:val="both"/>
        <w:rPr>
          <w:sz w:val="20"/>
          <w:szCs w:val="20"/>
        </w:rPr>
      </w:pPr>
    </w:p>
    <w:p w14:paraId="14E96C19" w14:textId="77777777" w:rsidR="00E12EB5" w:rsidRPr="00E12EB5" w:rsidRDefault="00E12EB5" w:rsidP="00E12EB5">
      <w:pPr>
        <w:spacing w:after="0" w:line="240" w:lineRule="auto"/>
        <w:jc w:val="both"/>
        <w:rPr>
          <w:b/>
          <w:bCs/>
          <w:sz w:val="20"/>
          <w:szCs w:val="20"/>
        </w:rPr>
      </w:pPr>
      <w:r w:rsidRPr="00E12EB5">
        <w:rPr>
          <w:b/>
          <w:bCs/>
          <w:sz w:val="20"/>
          <w:szCs w:val="20"/>
        </w:rPr>
        <w:t>Concluzie</w:t>
      </w:r>
    </w:p>
    <w:p w14:paraId="09981834" w14:textId="59E4C389" w:rsidR="00EA1574" w:rsidRPr="00AC349E" w:rsidRDefault="00E12EB5" w:rsidP="00E12EB5">
      <w:pPr>
        <w:spacing w:after="0" w:line="240" w:lineRule="auto"/>
        <w:jc w:val="both"/>
        <w:rPr>
          <w:sz w:val="20"/>
          <w:szCs w:val="20"/>
        </w:rPr>
      </w:pPr>
      <w:r w:rsidRPr="00E12EB5">
        <w:rPr>
          <w:sz w:val="20"/>
          <w:szCs w:val="20"/>
        </w:rPr>
        <w:t>Politicile de ocupare a forței de muncă joacă un rol fundamental în asigurarea unei economii sănătoase și a unei societăți coezive. O combinație eficientă de măsuri active și passive, adaptate la provocările actuale, este crucială pentru integrarea eficientă a forței de muncă. În fața schimbărilor rapide din economie și societate, colaborarea între guverne, angajatori și instituții educaționale este esențială pentru dezvoltarea unor soluții inovatoare și sustenabile. Astfel, se va contribui la crearea unui mediu favorabil pentru toți cetățenii, asigurând un viitor prosper și stabil.</w:t>
      </w:r>
    </w:p>
    <w:sectPr w:rsidR="00EA1574" w:rsidRPr="00AC349E" w:rsidSect="00CB59F9">
      <w:headerReference w:type="default" r:id="rId8"/>
      <w:footerReference w:type="default" r:id="rId9"/>
      <w:pgSz w:w="11906" w:h="16838" w:code="9"/>
      <w:pgMar w:top="1871" w:right="1418" w:bottom="1418" w:left="1418"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07243" w14:textId="77777777" w:rsidR="003916D2" w:rsidRDefault="003916D2" w:rsidP="00D01B5D">
      <w:pPr>
        <w:spacing w:after="0" w:line="240" w:lineRule="auto"/>
      </w:pPr>
      <w:r>
        <w:separator/>
      </w:r>
    </w:p>
  </w:endnote>
  <w:endnote w:type="continuationSeparator" w:id="0">
    <w:p w14:paraId="046519D6" w14:textId="77777777" w:rsidR="003916D2" w:rsidRDefault="003916D2" w:rsidP="00D01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1641"/>
    </w:tblGrid>
    <w:tr w:rsidR="00D01B5D" w:rsidRPr="004C3C86" w14:paraId="426E871C" w14:textId="77777777" w:rsidTr="00902375">
      <w:tc>
        <w:tcPr>
          <w:tcW w:w="7655" w:type="dxa"/>
        </w:tcPr>
        <w:p w14:paraId="7A6EF4E5" w14:textId="79E3B70F" w:rsidR="00D01B5D" w:rsidRPr="004C3C86" w:rsidRDefault="00D01B5D" w:rsidP="00D01B5D">
          <w:pPr>
            <w:pStyle w:val="Footer"/>
          </w:pPr>
          <w:r w:rsidRPr="004C3C86">
            <w:t>Contract</w:t>
          </w:r>
          <w:r w:rsidR="00234435" w:rsidRPr="004C3C86">
            <w:t xml:space="preserve"> </w:t>
          </w:r>
          <w:r w:rsidR="00343F1D" w:rsidRPr="00343F1D">
            <w:t>PEO/48/PEO_P1/OP4/ESO4.2/PEO_A7/309187</w:t>
          </w:r>
        </w:p>
        <w:p w14:paraId="0DB5E3A4" w14:textId="1FC4C178" w:rsidR="00D01B5D" w:rsidRPr="004C3C86" w:rsidRDefault="008B1CC8" w:rsidP="00D01B5D">
          <w:pPr>
            <w:pStyle w:val="Footer"/>
          </w:pPr>
          <w:r w:rsidRPr="004C3C86">
            <w:t>Proiect</w:t>
          </w:r>
          <w:r w:rsidRPr="004C3C86">
            <w:rPr>
              <w:b/>
              <w:bCs/>
            </w:rPr>
            <w:t xml:space="preserve"> c</w:t>
          </w:r>
          <w:r w:rsidR="00C3616A" w:rsidRPr="004C3C86">
            <w:rPr>
              <w:b/>
              <w:bCs/>
            </w:rPr>
            <w:t>ofinanțat de Uniunea Europeană</w:t>
          </w:r>
          <w:r w:rsidR="00C3616A" w:rsidRPr="004C3C86">
            <w:t xml:space="preserve"> </w:t>
          </w:r>
          <w:r w:rsidR="00D01B5D" w:rsidRPr="004C3C86">
            <w:t>prin</w:t>
          </w:r>
        </w:p>
        <w:p w14:paraId="15EAB42B" w14:textId="6A3AF0C1" w:rsidR="00D01B5D" w:rsidRPr="004C3C86" w:rsidRDefault="00C3616A" w:rsidP="00D01B5D">
          <w:pPr>
            <w:pStyle w:val="Footer"/>
          </w:pPr>
          <w:r w:rsidRPr="004C3C86">
            <w:t>PROGRAMUL EDUCAȚIE ȘI OCUPARE 2021-2027</w:t>
          </w:r>
        </w:p>
      </w:tc>
      <w:tc>
        <w:tcPr>
          <w:tcW w:w="1641" w:type="dxa"/>
        </w:tcPr>
        <w:p w14:paraId="680E81D4" w14:textId="77777777" w:rsidR="00D01B5D" w:rsidRPr="004C3C86" w:rsidRDefault="00D01B5D" w:rsidP="00D01B5D">
          <w:pPr>
            <w:pStyle w:val="Footer"/>
            <w:jc w:val="right"/>
          </w:pPr>
          <w:r w:rsidRPr="004C3C86">
            <w:t xml:space="preserve">Pagina: </w:t>
          </w:r>
          <w:r w:rsidR="00927164" w:rsidRPr="004C3C86">
            <w:fldChar w:fldCharType="begin"/>
          </w:r>
          <w:r w:rsidRPr="004C3C86">
            <w:instrText xml:space="preserve"> PAGE   \* MERGEFORMAT </w:instrText>
          </w:r>
          <w:r w:rsidR="00927164" w:rsidRPr="004C3C86">
            <w:fldChar w:fldCharType="separate"/>
          </w:r>
          <w:r w:rsidR="00A33D39" w:rsidRPr="004C3C86">
            <w:rPr>
              <w:noProof/>
            </w:rPr>
            <w:t>1</w:t>
          </w:r>
          <w:r w:rsidR="00927164" w:rsidRPr="004C3C86">
            <w:fldChar w:fldCharType="end"/>
          </w:r>
          <w:r w:rsidRPr="004C3C86">
            <w:t>/</w:t>
          </w:r>
          <w:fldSimple w:instr=" NUMPAGES   \* MERGEFORMAT ">
            <w:r w:rsidR="00A33D39" w:rsidRPr="004C3C86">
              <w:rPr>
                <w:noProof/>
              </w:rPr>
              <w:t>1</w:t>
            </w:r>
          </w:fldSimple>
        </w:p>
        <w:p w14:paraId="0F97824D" w14:textId="77777777" w:rsidR="00D01B5D" w:rsidRPr="004C3C86" w:rsidRDefault="00D01B5D" w:rsidP="00D01B5D">
          <w:pPr>
            <w:pStyle w:val="Footer"/>
            <w:jc w:val="right"/>
          </w:pPr>
        </w:p>
      </w:tc>
    </w:tr>
  </w:tbl>
  <w:p w14:paraId="25420D6C" w14:textId="77777777" w:rsidR="00D01B5D" w:rsidRPr="004C3C86" w:rsidRDefault="00D01B5D" w:rsidP="00B844FB">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8D772" w14:textId="77777777" w:rsidR="003916D2" w:rsidRDefault="003916D2" w:rsidP="00D01B5D">
      <w:pPr>
        <w:spacing w:after="0" w:line="240" w:lineRule="auto"/>
      </w:pPr>
      <w:r>
        <w:separator/>
      </w:r>
    </w:p>
  </w:footnote>
  <w:footnote w:type="continuationSeparator" w:id="0">
    <w:p w14:paraId="24E9DE59" w14:textId="77777777" w:rsidR="003916D2" w:rsidRDefault="003916D2" w:rsidP="00D01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F7207" w14:textId="281BF669" w:rsidR="00D01B5D" w:rsidRDefault="002C37D5" w:rsidP="00B20814">
    <w:pPr>
      <w:pStyle w:val="Header"/>
      <w:jc w:val="center"/>
      <w:rPr>
        <w:noProof/>
      </w:rPr>
    </w:pPr>
    <w:r>
      <w:rPr>
        <w:noProof/>
      </w:rPr>
      <w:drawing>
        <wp:inline distT="0" distB="0" distL="0" distR="0" wp14:anchorId="1A6B7649" wp14:editId="69A633BE">
          <wp:extent cx="3443605" cy="724535"/>
          <wp:effectExtent l="0" t="0" r="0" b="0"/>
          <wp:docPr id="1255535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3605" cy="724535"/>
                  </a:xfrm>
                  <a:prstGeom prst="rect">
                    <a:avLst/>
                  </a:prstGeom>
                  <a:noFill/>
                  <a:ln>
                    <a:noFill/>
                  </a:ln>
                </pic:spPr>
              </pic:pic>
            </a:graphicData>
          </a:graphic>
        </wp:inline>
      </w:drawing>
    </w:r>
    <w:r w:rsidR="00B20814">
      <w:rPr>
        <w:noProof/>
      </w:rPr>
      <w:tab/>
    </w:r>
    <w:r w:rsidR="00B667F0" w:rsidRPr="00B667F0">
      <w:rPr>
        <w:noProof/>
      </w:rPr>
      <w:drawing>
        <wp:inline distT="0" distB="0" distL="0" distR="0" wp14:anchorId="3F61281F" wp14:editId="5F98FDDE">
          <wp:extent cx="720000" cy="720000"/>
          <wp:effectExtent l="0" t="0" r="0" b="0"/>
          <wp:docPr id="2001073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411638" name=""/>
                  <pic:cNvPicPr/>
                </pic:nvPicPr>
                <pic:blipFill>
                  <a:blip r:embed="rId2"/>
                  <a:stretch>
                    <a:fillRect/>
                  </a:stretch>
                </pic:blipFill>
                <pic:spPr>
                  <a:xfrm>
                    <a:off x="0" y="0"/>
                    <a:ext cx="72000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F41BF"/>
    <w:multiLevelType w:val="hybridMultilevel"/>
    <w:tmpl w:val="7C6812DC"/>
    <w:lvl w:ilvl="0" w:tplc="853CD23A">
      <w:start w:val="1"/>
      <w:numFmt w:val="decimal"/>
      <w:lvlText w:val="%1."/>
      <w:lvlJc w:val="left"/>
      <w:pPr>
        <w:ind w:left="1785" w:hanging="435"/>
      </w:pPr>
      <w:rPr>
        <w:rFonts w:hint="default"/>
      </w:rPr>
    </w:lvl>
    <w:lvl w:ilvl="1" w:tplc="08090019" w:tentative="1">
      <w:start w:val="1"/>
      <w:numFmt w:val="lowerLetter"/>
      <w:lvlText w:val="%2."/>
      <w:lvlJc w:val="left"/>
      <w:pPr>
        <w:ind w:left="2430" w:hanging="360"/>
      </w:pPr>
    </w:lvl>
    <w:lvl w:ilvl="2" w:tplc="0809001B" w:tentative="1">
      <w:start w:val="1"/>
      <w:numFmt w:val="lowerRoman"/>
      <w:lvlText w:val="%3."/>
      <w:lvlJc w:val="right"/>
      <w:pPr>
        <w:ind w:left="3150" w:hanging="180"/>
      </w:pPr>
    </w:lvl>
    <w:lvl w:ilvl="3" w:tplc="0809000F" w:tentative="1">
      <w:start w:val="1"/>
      <w:numFmt w:val="decimal"/>
      <w:lvlText w:val="%4."/>
      <w:lvlJc w:val="left"/>
      <w:pPr>
        <w:ind w:left="3870" w:hanging="360"/>
      </w:pPr>
    </w:lvl>
    <w:lvl w:ilvl="4" w:tplc="08090019" w:tentative="1">
      <w:start w:val="1"/>
      <w:numFmt w:val="lowerLetter"/>
      <w:lvlText w:val="%5."/>
      <w:lvlJc w:val="left"/>
      <w:pPr>
        <w:ind w:left="4590" w:hanging="360"/>
      </w:pPr>
    </w:lvl>
    <w:lvl w:ilvl="5" w:tplc="0809001B" w:tentative="1">
      <w:start w:val="1"/>
      <w:numFmt w:val="lowerRoman"/>
      <w:lvlText w:val="%6."/>
      <w:lvlJc w:val="right"/>
      <w:pPr>
        <w:ind w:left="5310" w:hanging="180"/>
      </w:pPr>
    </w:lvl>
    <w:lvl w:ilvl="6" w:tplc="0809000F" w:tentative="1">
      <w:start w:val="1"/>
      <w:numFmt w:val="decimal"/>
      <w:lvlText w:val="%7."/>
      <w:lvlJc w:val="left"/>
      <w:pPr>
        <w:ind w:left="6030" w:hanging="360"/>
      </w:pPr>
    </w:lvl>
    <w:lvl w:ilvl="7" w:tplc="08090019" w:tentative="1">
      <w:start w:val="1"/>
      <w:numFmt w:val="lowerLetter"/>
      <w:lvlText w:val="%8."/>
      <w:lvlJc w:val="left"/>
      <w:pPr>
        <w:ind w:left="6750" w:hanging="360"/>
      </w:pPr>
    </w:lvl>
    <w:lvl w:ilvl="8" w:tplc="0809001B" w:tentative="1">
      <w:start w:val="1"/>
      <w:numFmt w:val="lowerRoman"/>
      <w:lvlText w:val="%9."/>
      <w:lvlJc w:val="right"/>
      <w:pPr>
        <w:ind w:left="7470" w:hanging="180"/>
      </w:pPr>
    </w:lvl>
  </w:abstractNum>
  <w:num w:numId="1" w16cid:durableId="957642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B5D"/>
    <w:rsid w:val="00002077"/>
    <w:rsid w:val="000146BF"/>
    <w:rsid w:val="00025EBA"/>
    <w:rsid w:val="00032D1B"/>
    <w:rsid w:val="00073476"/>
    <w:rsid w:val="00097F83"/>
    <w:rsid w:val="00101D66"/>
    <w:rsid w:val="00127773"/>
    <w:rsid w:val="0015152B"/>
    <w:rsid w:val="001A1854"/>
    <w:rsid w:val="002021D4"/>
    <w:rsid w:val="00234435"/>
    <w:rsid w:val="00257314"/>
    <w:rsid w:val="0026126D"/>
    <w:rsid w:val="002B3F79"/>
    <w:rsid w:val="002C37D5"/>
    <w:rsid w:val="0032379E"/>
    <w:rsid w:val="00324B71"/>
    <w:rsid w:val="0034098E"/>
    <w:rsid w:val="00342ECC"/>
    <w:rsid w:val="00343F1D"/>
    <w:rsid w:val="003440D6"/>
    <w:rsid w:val="003916D2"/>
    <w:rsid w:val="003C4F21"/>
    <w:rsid w:val="003E6A49"/>
    <w:rsid w:val="003E6C16"/>
    <w:rsid w:val="004C3C86"/>
    <w:rsid w:val="004E704E"/>
    <w:rsid w:val="0051738D"/>
    <w:rsid w:val="00537090"/>
    <w:rsid w:val="00555627"/>
    <w:rsid w:val="005D0284"/>
    <w:rsid w:val="005E5EFD"/>
    <w:rsid w:val="0062009F"/>
    <w:rsid w:val="00671CFC"/>
    <w:rsid w:val="00672C41"/>
    <w:rsid w:val="006C4FF9"/>
    <w:rsid w:val="006D71ED"/>
    <w:rsid w:val="006E0BB5"/>
    <w:rsid w:val="006E21D8"/>
    <w:rsid w:val="006E469C"/>
    <w:rsid w:val="006E689F"/>
    <w:rsid w:val="00781672"/>
    <w:rsid w:val="007B086D"/>
    <w:rsid w:val="00811334"/>
    <w:rsid w:val="00862186"/>
    <w:rsid w:val="008B1598"/>
    <w:rsid w:val="008B1ABE"/>
    <w:rsid w:val="008B1CC8"/>
    <w:rsid w:val="008B4A7F"/>
    <w:rsid w:val="00901E8B"/>
    <w:rsid w:val="00905AE9"/>
    <w:rsid w:val="0091624E"/>
    <w:rsid w:val="009261C4"/>
    <w:rsid w:val="00927164"/>
    <w:rsid w:val="009C09C1"/>
    <w:rsid w:val="009C4E96"/>
    <w:rsid w:val="00A16F31"/>
    <w:rsid w:val="00A33D39"/>
    <w:rsid w:val="00A80627"/>
    <w:rsid w:val="00AC349E"/>
    <w:rsid w:val="00B20814"/>
    <w:rsid w:val="00B62B95"/>
    <w:rsid w:val="00B667F0"/>
    <w:rsid w:val="00B844FB"/>
    <w:rsid w:val="00BC5C76"/>
    <w:rsid w:val="00C02C31"/>
    <w:rsid w:val="00C341BD"/>
    <w:rsid w:val="00C3616A"/>
    <w:rsid w:val="00C6270B"/>
    <w:rsid w:val="00CA167D"/>
    <w:rsid w:val="00CB0669"/>
    <w:rsid w:val="00CB59F9"/>
    <w:rsid w:val="00CE37A4"/>
    <w:rsid w:val="00D01B5D"/>
    <w:rsid w:val="00D93F42"/>
    <w:rsid w:val="00D96CC0"/>
    <w:rsid w:val="00DE722A"/>
    <w:rsid w:val="00E05097"/>
    <w:rsid w:val="00E106EF"/>
    <w:rsid w:val="00E10D5C"/>
    <w:rsid w:val="00E12EB5"/>
    <w:rsid w:val="00E37987"/>
    <w:rsid w:val="00EA1574"/>
    <w:rsid w:val="00EC704F"/>
    <w:rsid w:val="00EF7E97"/>
    <w:rsid w:val="00F044CE"/>
    <w:rsid w:val="00F20DBB"/>
    <w:rsid w:val="00F26334"/>
    <w:rsid w:val="00F669FE"/>
    <w:rsid w:val="00F8227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B5DDD"/>
  <w15:docId w15:val="{450E0911-9738-465E-91ED-2D08D93C3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9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D01B5D"/>
  </w:style>
  <w:style w:type="paragraph" w:styleId="Footer">
    <w:name w:val="footer"/>
    <w:basedOn w:val="Normal"/>
    <w:link w:val="FooterChar"/>
    <w:uiPriority w:val="99"/>
    <w:unhideWhenUsed/>
    <w:rsid w:val="00D01B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D01B5D"/>
  </w:style>
  <w:style w:type="table" w:styleId="TableGrid">
    <w:name w:val="Table Grid"/>
    <w:basedOn w:val="TableNormal"/>
    <w:uiPriority w:val="39"/>
    <w:rsid w:val="00D01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44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4FB"/>
    <w:rPr>
      <w:rFonts w:ascii="Segoe UI" w:hAnsi="Segoe UI" w:cs="Segoe UI"/>
      <w:sz w:val="18"/>
      <w:szCs w:val="18"/>
    </w:rPr>
  </w:style>
  <w:style w:type="paragraph" w:styleId="ListParagraph">
    <w:name w:val="List Paragraph"/>
    <w:basedOn w:val="Normal"/>
    <w:uiPriority w:val="34"/>
    <w:qFormat/>
    <w:rsid w:val="00E12E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835820">
      <w:bodyDiv w:val="1"/>
      <w:marLeft w:val="0"/>
      <w:marRight w:val="0"/>
      <w:marTop w:val="0"/>
      <w:marBottom w:val="0"/>
      <w:divBdr>
        <w:top w:val="none" w:sz="0" w:space="0" w:color="auto"/>
        <w:left w:val="none" w:sz="0" w:space="0" w:color="auto"/>
        <w:bottom w:val="none" w:sz="0" w:space="0" w:color="auto"/>
        <w:right w:val="none" w:sz="0" w:space="0" w:color="auto"/>
      </w:divBdr>
    </w:div>
    <w:div w:id="21005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16D84-B790-466A-B4B8-225593F7E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1545</Words>
  <Characters>8811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dc:creator>
  <cp:keywords/>
  <dc:description/>
  <cp:lastModifiedBy>Ciprian Sarca</cp:lastModifiedBy>
  <cp:revision>5</cp:revision>
  <cp:lastPrinted>2024-05-02T08:35:00Z</cp:lastPrinted>
  <dcterms:created xsi:type="dcterms:W3CDTF">2025-03-31T16:32:00Z</dcterms:created>
  <dcterms:modified xsi:type="dcterms:W3CDTF">2025-04-01T10:08:00Z</dcterms:modified>
</cp:coreProperties>
</file>