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E93EA" w14:textId="08F48A7A" w:rsidR="00257314" w:rsidRDefault="0051738D" w:rsidP="0034098E">
      <w:pPr>
        <w:spacing w:after="0" w:line="240" w:lineRule="auto"/>
        <w:rPr>
          <w:b/>
          <w:color w:val="ED7D31" w:themeColor="accent2"/>
        </w:rPr>
      </w:pPr>
      <w:r w:rsidRPr="00257314">
        <w:rPr>
          <w:b/>
          <w:color w:val="ED7D31" w:themeColor="accent2"/>
        </w:rPr>
        <w:t>PROGRAMUL EDUCAȚIE ȘI OCUPARE 2021-2027</w:t>
      </w:r>
    </w:p>
    <w:p w14:paraId="752623B9" w14:textId="77777777" w:rsidR="00257314" w:rsidRPr="00257314" w:rsidRDefault="00257314" w:rsidP="00257314">
      <w:pPr>
        <w:spacing w:after="0" w:line="240" w:lineRule="auto"/>
        <w:rPr>
          <w:sz w:val="20"/>
          <w:szCs w:val="20"/>
        </w:rPr>
      </w:pPr>
      <w:r w:rsidRPr="00257314">
        <w:rPr>
          <w:sz w:val="20"/>
          <w:szCs w:val="20"/>
        </w:rPr>
        <w:t>Prioritate: P01 „Modernizarea instituțiilor pieței muncii“</w:t>
      </w:r>
    </w:p>
    <w:p w14:paraId="3F089C08" w14:textId="53356C83" w:rsidR="00257314" w:rsidRDefault="00257314" w:rsidP="00257314">
      <w:pPr>
        <w:spacing w:after="0" w:line="240" w:lineRule="auto"/>
        <w:rPr>
          <w:sz w:val="20"/>
          <w:szCs w:val="20"/>
        </w:rPr>
      </w:pPr>
      <w:r w:rsidRPr="00257314">
        <w:rPr>
          <w:sz w:val="20"/>
          <w:szCs w:val="20"/>
        </w:rPr>
        <w:t>Obiectiv specific: ESO4.2 „Modernizarea instituțiilor și a serviciilor pieței muncii pentru ca acestea să evalueze și să anticipeze necesitățile în materie de competențe, să asigure o asistență promptă și personalizată și să sprijine corelarea cererii și a ofertei, tranzițiile și mobilitatea pe piața muncii (FSE+)“</w:t>
      </w:r>
    </w:p>
    <w:p w14:paraId="12DEF308" w14:textId="0D1F347A" w:rsidR="00343F1D" w:rsidRDefault="0034098E" w:rsidP="00257314">
      <w:pPr>
        <w:spacing w:after="0" w:line="240" w:lineRule="auto"/>
        <w:jc w:val="both"/>
        <w:rPr>
          <w:sz w:val="20"/>
          <w:szCs w:val="20"/>
        </w:rPr>
      </w:pPr>
      <w:r w:rsidRPr="00257314">
        <w:rPr>
          <w:sz w:val="20"/>
          <w:szCs w:val="20"/>
        </w:rPr>
        <w:t xml:space="preserve">Cod proiect: </w:t>
      </w:r>
      <w:r w:rsidR="00343F1D" w:rsidRPr="00343F1D">
        <w:rPr>
          <w:sz w:val="20"/>
          <w:szCs w:val="20"/>
        </w:rPr>
        <w:t>PEO/48/PEO_P1/OP4/ESO4.2/PEO_A7</w:t>
      </w:r>
      <w:r w:rsidR="00343F1D">
        <w:rPr>
          <w:sz w:val="20"/>
          <w:szCs w:val="20"/>
        </w:rPr>
        <w:t>/309187</w:t>
      </w:r>
    </w:p>
    <w:p w14:paraId="7F3A8B6D" w14:textId="41DB6FA0" w:rsidR="00D01B5D" w:rsidRDefault="0034098E" w:rsidP="00257314">
      <w:pPr>
        <w:spacing w:after="0" w:line="240" w:lineRule="auto"/>
        <w:jc w:val="both"/>
        <w:rPr>
          <w:sz w:val="20"/>
          <w:szCs w:val="20"/>
        </w:rPr>
      </w:pPr>
      <w:r w:rsidRPr="00257314">
        <w:rPr>
          <w:sz w:val="20"/>
          <w:szCs w:val="20"/>
        </w:rPr>
        <w:t>Titlu Proiect</w:t>
      </w:r>
      <w:r w:rsidRPr="00AC349E">
        <w:rPr>
          <w:sz w:val="20"/>
          <w:szCs w:val="20"/>
        </w:rPr>
        <w:t xml:space="preserve">: </w:t>
      </w:r>
      <w:r w:rsidR="00343F1D" w:rsidRPr="00AC349E">
        <w:rPr>
          <w:sz w:val="20"/>
          <w:szCs w:val="20"/>
        </w:rPr>
        <w:t>Dialog social și parteneriate pentru Ocupare și Formare</w:t>
      </w:r>
    </w:p>
    <w:p w14:paraId="3A9C8983" w14:textId="77777777" w:rsidR="00EA1574" w:rsidRDefault="00EA1574" w:rsidP="00257314">
      <w:pPr>
        <w:spacing w:after="0" w:line="240" w:lineRule="auto"/>
        <w:jc w:val="both"/>
        <w:rPr>
          <w:sz w:val="20"/>
          <w:szCs w:val="20"/>
        </w:rPr>
      </w:pPr>
    </w:p>
    <w:p w14:paraId="1383ACC2" w14:textId="77777777" w:rsidR="00EA1574" w:rsidRDefault="00EA1574" w:rsidP="00257314">
      <w:pPr>
        <w:spacing w:after="0" w:line="240" w:lineRule="auto"/>
        <w:jc w:val="both"/>
        <w:rPr>
          <w:sz w:val="20"/>
          <w:szCs w:val="20"/>
        </w:rPr>
      </w:pPr>
    </w:p>
    <w:p w14:paraId="46839529" w14:textId="2508EC61" w:rsidR="00EA1574" w:rsidRPr="00EA1574" w:rsidRDefault="00EA1574" w:rsidP="007B71DB">
      <w:pPr>
        <w:spacing w:after="0" w:line="240" w:lineRule="auto"/>
        <w:jc w:val="center"/>
        <w:rPr>
          <w:b/>
          <w:bCs/>
        </w:rPr>
      </w:pPr>
      <w:r w:rsidRPr="00EA1574">
        <w:rPr>
          <w:b/>
          <w:bCs/>
        </w:rPr>
        <w:t>Dialogul între Diferite Grupuri Comunitare</w:t>
      </w:r>
    </w:p>
    <w:p w14:paraId="77146C4D" w14:textId="77777777" w:rsidR="00EA1574" w:rsidRPr="00EA1574" w:rsidRDefault="00EA1574" w:rsidP="00EA1574">
      <w:pPr>
        <w:spacing w:after="0" w:line="240" w:lineRule="auto"/>
        <w:jc w:val="both"/>
        <w:rPr>
          <w:sz w:val="20"/>
          <w:szCs w:val="20"/>
        </w:rPr>
      </w:pPr>
    </w:p>
    <w:p w14:paraId="40FE1F6F" w14:textId="77777777" w:rsidR="00EA1574" w:rsidRPr="00EA1574" w:rsidRDefault="00EA1574" w:rsidP="00EA1574">
      <w:pPr>
        <w:spacing w:after="0" w:line="240" w:lineRule="auto"/>
        <w:jc w:val="both"/>
        <w:rPr>
          <w:sz w:val="20"/>
          <w:szCs w:val="20"/>
        </w:rPr>
      </w:pPr>
      <w:r w:rsidRPr="00EA1574">
        <w:rPr>
          <w:sz w:val="20"/>
          <w:szCs w:val="20"/>
        </w:rPr>
        <w:t>Conceptul de dialog între grupuri comunitare este fundamental în societățile contemporane, având un impact semnificativ asupra coeziunii sociale și a diversității. Această introducere subliniază importanța acestui proces într-o lume globalizată, oferind un cadru pentru discuții ulterioare.</w:t>
      </w:r>
    </w:p>
    <w:p w14:paraId="7008C17C" w14:textId="77777777" w:rsidR="00EA1574" w:rsidRPr="00EA1574" w:rsidRDefault="00EA1574" w:rsidP="00EA1574">
      <w:pPr>
        <w:spacing w:after="0" w:line="240" w:lineRule="auto"/>
        <w:jc w:val="both"/>
        <w:rPr>
          <w:sz w:val="20"/>
          <w:szCs w:val="20"/>
        </w:rPr>
      </w:pPr>
      <w:r w:rsidRPr="00EA1574">
        <w:rPr>
          <w:sz w:val="20"/>
          <w:szCs w:val="20"/>
        </w:rPr>
        <w:t>1.</w:t>
      </w:r>
      <w:r w:rsidRPr="00EA1574">
        <w:rPr>
          <w:b/>
          <w:bCs/>
          <w:sz w:val="20"/>
          <w:szCs w:val="20"/>
        </w:rPr>
        <w:tab/>
        <w:t>Definirea Dialogului Comunitar</w:t>
      </w:r>
      <w:r w:rsidRPr="00EA1574">
        <w:rPr>
          <w:sz w:val="20"/>
          <w:szCs w:val="20"/>
        </w:rPr>
        <w:t xml:space="preserve"> </w:t>
      </w:r>
    </w:p>
    <w:p w14:paraId="1AF39BEC" w14:textId="77777777" w:rsidR="00EA1574" w:rsidRPr="00EA1574" w:rsidRDefault="00EA1574" w:rsidP="00EA1574">
      <w:pPr>
        <w:spacing w:after="0" w:line="240" w:lineRule="auto"/>
        <w:jc w:val="both"/>
        <w:rPr>
          <w:sz w:val="20"/>
          <w:szCs w:val="20"/>
        </w:rPr>
      </w:pPr>
      <w:r w:rsidRPr="00EA1574">
        <w:rPr>
          <w:sz w:val="20"/>
          <w:szCs w:val="20"/>
        </w:rPr>
        <w:t>Dialogul comunitar este definit ca o interacțiune constructivă între grupuri diverse, accentuând comunicarea deschisă și respectul reciproc. Această definiție este esențială, deoarece stabilește baza pentru colaborarea eficientă. Totuși, este important să ne întrebăm cum poate fi garantată această deschidere și respect, ținând cont de diversitatea atitudinilor și valorilor existente în rândul comunităților.</w:t>
      </w:r>
    </w:p>
    <w:p w14:paraId="0EB1798A" w14:textId="77777777" w:rsidR="00EA1574" w:rsidRPr="00EA1574" w:rsidRDefault="00EA1574" w:rsidP="00EA1574">
      <w:pPr>
        <w:spacing w:after="0" w:line="240" w:lineRule="auto"/>
        <w:jc w:val="both"/>
        <w:rPr>
          <w:b/>
          <w:bCs/>
          <w:sz w:val="20"/>
          <w:szCs w:val="20"/>
        </w:rPr>
      </w:pPr>
      <w:r w:rsidRPr="00EA1574">
        <w:rPr>
          <w:sz w:val="20"/>
          <w:szCs w:val="20"/>
        </w:rPr>
        <w:t xml:space="preserve">2. </w:t>
      </w:r>
      <w:r w:rsidRPr="00EA1574">
        <w:rPr>
          <w:b/>
          <w:bCs/>
          <w:sz w:val="20"/>
          <w:szCs w:val="20"/>
        </w:rPr>
        <w:t>Importanța Dialogului între Comunității</w:t>
      </w:r>
    </w:p>
    <w:p w14:paraId="49905D94" w14:textId="77777777" w:rsidR="00EA1574" w:rsidRPr="00EA1574" w:rsidRDefault="00EA1574" w:rsidP="00EA1574">
      <w:pPr>
        <w:spacing w:after="0" w:line="240" w:lineRule="auto"/>
        <w:jc w:val="both"/>
        <w:rPr>
          <w:sz w:val="20"/>
          <w:szCs w:val="20"/>
        </w:rPr>
      </w:pPr>
      <w:r w:rsidRPr="00EA1574">
        <w:rPr>
          <w:sz w:val="20"/>
          <w:szCs w:val="20"/>
        </w:rPr>
        <w:t>Promovarea Înțelegerii</w:t>
      </w:r>
    </w:p>
    <w:p w14:paraId="4262C451" w14:textId="77777777" w:rsidR="00EA1574" w:rsidRPr="00EA1574" w:rsidRDefault="00EA1574" w:rsidP="00EA1574">
      <w:pPr>
        <w:spacing w:after="0" w:line="240" w:lineRule="auto"/>
        <w:jc w:val="both"/>
        <w:rPr>
          <w:sz w:val="20"/>
          <w:szCs w:val="20"/>
        </w:rPr>
      </w:pPr>
      <w:r w:rsidRPr="00EA1574">
        <w:rPr>
          <w:sz w:val="20"/>
          <w:szCs w:val="20"/>
        </w:rPr>
        <w:t xml:space="preserve"> Dialogul ajută la depășirea stereotipurilor, dar este crucial să ne întrebăm: cum poate fi măsurată această înțelegere? Eforturile de a promova empatia și toleranța trebuie să fie susținute de acțiuni concrete, nu doar de intenții. Este esențial să se dezvolte programe care să încurajeze întâlnirile directe și schimbul de experiențe.</w:t>
      </w:r>
    </w:p>
    <w:p w14:paraId="62123130" w14:textId="77777777" w:rsidR="00EA1574" w:rsidRPr="00EA1574" w:rsidRDefault="00EA1574" w:rsidP="00EA1574">
      <w:pPr>
        <w:spacing w:after="0" w:line="240" w:lineRule="auto"/>
        <w:jc w:val="both"/>
        <w:rPr>
          <w:sz w:val="20"/>
          <w:szCs w:val="20"/>
        </w:rPr>
      </w:pPr>
      <w:r w:rsidRPr="00EA1574">
        <w:rPr>
          <w:sz w:val="20"/>
          <w:szCs w:val="20"/>
        </w:rPr>
        <w:t>Rezolvarea Conflictelor</w:t>
      </w:r>
    </w:p>
    <w:p w14:paraId="6EF5EF80" w14:textId="77777777" w:rsidR="00EA1574" w:rsidRPr="00EA1574" w:rsidRDefault="00EA1574" w:rsidP="00EA1574">
      <w:pPr>
        <w:spacing w:after="0" w:line="240" w:lineRule="auto"/>
        <w:jc w:val="both"/>
        <w:rPr>
          <w:sz w:val="20"/>
          <w:szCs w:val="20"/>
        </w:rPr>
      </w:pPr>
      <w:r w:rsidRPr="00EA1574">
        <w:rPr>
          <w:sz w:val="20"/>
          <w:szCs w:val="20"/>
        </w:rPr>
        <w:t xml:space="preserve"> Prevenirea escaladării conflictelor prin dialog este un obiectiv nobil, dar trebuie să recunoaștem că nu toate conflictele pot fi rezolvate prin comunicare. Există cazuri în care intervenția externă sau medierea profesionistă este necesară. Este important să discutăm despre metodele de abordare a conflictelor mai complexe care depășesc dialogul simplu.</w:t>
      </w:r>
    </w:p>
    <w:p w14:paraId="6BF2055F" w14:textId="77777777" w:rsidR="00EA1574" w:rsidRPr="00EA1574" w:rsidRDefault="00EA1574" w:rsidP="00EA1574">
      <w:pPr>
        <w:spacing w:after="0" w:line="240" w:lineRule="auto"/>
        <w:jc w:val="both"/>
        <w:rPr>
          <w:sz w:val="20"/>
          <w:szCs w:val="20"/>
        </w:rPr>
      </w:pPr>
      <w:r w:rsidRPr="00EA1574">
        <w:rPr>
          <w:sz w:val="20"/>
          <w:szCs w:val="20"/>
        </w:rPr>
        <w:t xml:space="preserve">Îmbunătățirea Coeziunii Sociale </w:t>
      </w:r>
    </w:p>
    <w:p w14:paraId="3EC501BA" w14:textId="77777777" w:rsidR="00EA1574" w:rsidRPr="00EA1574" w:rsidRDefault="00EA1574" w:rsidP="00EA1574">
      <w:pPr>
        <w:spacing w:after="0" w:line="240" w:lineRule="auto"/>
        <w:jc w:val="both"/>
        <w:rPr>
          <w:sz w:val="20"/>
          <w:szCs w:val="20"/>
        </w:rPr>
      </w:pPr>
      <w:r w:rsidRPr="00EA1574">
        <w:rPr>
          <w:sz w:val="20"/>
          <w:szCs w:val="20"/>
        </w:rPr>
        <w:t>Construirea legăturilor între comunități poate conduce la o societate mai unită. Cu toate acestea, este necesar să ne întrebăm cum pot fi menținute aceste legături pe termen lung. Este esențial să se creeze structuri care să permită continuarea dialogului și colaborării, nu doar în momente de criză.</w:t>
      </w:r>
    </w:p>
    <w:p w14:paraId="26E00BEC" w14:textId="77777777" w:rsidR="00EA1574" w:rsidRPr="00EA1574" w:rsidRDefault="00EA1574" w:rsidP="00EA1574">
      <w:pPr>
        <w:spacing w:after="0" w:line="240" w:lineRule="auto"/>
        <w:jc w:val="both"/>
        <w:rPr>
          <w:b/>
          <w:bCs/>
          <w:sz w:val="20"/>
          <w:szCs w:val="20"/>
        </w:rPr>
      </w:pPr>
      <w:r w:rsidRPr="00EA1574">
        <w:rPr>
          <w:sz w:val="20"/>
          <w:szCs w:val="20"/>
        </w:rPr>
        <w:t>3</w:t>
      </w:r>
      <w:r w:rsidRPr="00EA1574">
        <w:rPr>
          <w:b/>
          <w:bCs/>
          <w:sz w:val="20"/>
          <w:szCs w:val="20"/>
        </w:rPr>
        <w:t>. Modalități de Facilitare a Dialogului</w:t>
      </w:r>
    </w:p>
    <w:p w14:paraId="4326C19F" w14:textId="5A5D386D" w:rsidR="00EA1574" w:rsidRPr="00EA1574" w:rsidRDefault="00EA1574" w:rsidP="00EA1574">
      <w:pPr>
        <w:spacing w:after="0" w:line="240" w:lineRule="auto"/>
        <w:jc w:val="both"/>
        <w:rPr>
          <w:sz w:val="20"/>
          <w:szCs w:val="20"/>
        </w:rPr>
      </w:pPr>
      <w:r w:rsidRPr="00EA1574">
        <w:rPr>
          <w:sz w:val="20"/>
          <w:szCs w:val="20"/>
        </w:rPr>
        <w:t>Organizarea de Evenimente Comunitare Aceste evenimente sunt o modalitate eficientă de a aduce oameni împreună, dar trebuie să ne întrebăm: cum putem asigura participarea diverselor grupuri, în special a celor marginalizate? Este important ca organizatorii să fie conștienți de barierele care pot împiedica accesul la aceste evenimente.</w:t>
      </w:r>
    </w:p>
    <w:p w14:paraId="40DED757" w14:textId="77777777" w:rsidR="00EA1574" w:rsidRPr="00EA1574" w:rsidRDefault="00EA1574" w:rsidP="00EA1574">
      <w:pPr>
        <w:spacing w:after="0" w:line="240" w:lineRule="auto"/>
        <w:jc w:val="both"/>
        <w:rPr>
          <w:sz w:val="20"/>
          <w:szCs w:val="20"/>
        </w:rPr>
      </w:pPr>
      <w:r w:rsidRPr="00EA1574">
        <w:rPr>
          <w:sz w:val="20"/>
          <w:szCs w:val="20"/>
        </w:rPr>
        <w:t>Educația și Formarea Programele educaționale sunt esențiale pentru pregătirea membrilor comunității. Totuși, este important să ne întrebăm cum pot fi implementate efectiv aceste programe, având în vedere resursele limitate și diversitatea comunităților. Este necesară o abordare adaptată nevoilor specifice ale fiecărei comunități.</w:t>
      </w:r>
    </w:p>
    <w:p w14:paraId="3FF7F1A2" w14:textId="77777777" w:rsidR="00EA1574" w:rsidRPr="00EA1574" w:rsidRDefault="00EA1574" w:rsidP="00EA1574">
      <w:pPr>
        <w:spacing w:after="0" w:line="240" w:lineRule="auto"/>
        <w:jc w:val="both"/>
        <w:rPr>
          <w:sz w:val="20"/>
          <w:szCs w:val="20"/>
        </w:rPr>
      </w:pPr>
      <w:r w:rsidRPr="00EA1574">
        <w:rPr>
          <w:sz w:val="20"/>
          <w:szCs w:val="20"/>
        </w:rPr>
        <w:t>Utilizarea Tehnologiei Tehnologia poate extinde posibilitățile de interacțiune, dar există riscul ca aceasta să creeze noi forme de excluziune. Este esențial să ne concentrăm pe accesibilitatea platformelor online pentru toate grupurile, în special pentru cele care nu au acces facil la tehnologie.</w:t>
      </w:r>
    </w:p>
    <w:p w14:paraId="25FDA334" w14:textId="77777777" w:rsidR="00EA1574" w:rsidRPr="00EA1574" w:rsidRDefault="00EA1574" w:rsidP="00EA1574">
      <w:pPr>
        <w:spacing w:after="0" w:line="240" w:lineRule="auto"/>
        <w:jc w:val="both"/>
        <w:rPr>
          <w:b/>
          <w:bCs/>
          <w:sz w:val="20"/>
          <w:szCs w:val="20"/>
        </w:rPr>
      </w:pPr>
      <w:r w:rsidRPr="00EA1574">
        <w:rPr>
          <w:sz w:val="20"/>
          <w:szCs w:val="20"/>
        </w:rPr>
        <w:t xml:space="preserve">4. </w:t>
      </w:r>
      <w:r w:rsidRPr="00EA1574">
        <w:rPr>
          <w:b/>
          <w:bCs/>
          <w:sz w:val="20"/>
          <w:szCs w:val="20"/>
        </w:rPr>
        <w:t>Provocări în Dialogul Comunitar</w:t>
      </w:r>
    </w:p>
    <w:p w14:paraId="0E6AC315" w14:textId="77777777" w:rsidR="00EA1574" w:rsidRPr="00EA1574" w:rsidRDefault="00EA1574" w:rsidP="00EA1574">
      <w:pPr>
        <w:spacing w:after="0" w:line="240" w:lineRule="auto"/>
        <w:jc w:val="both"/>
        <w:rPr>
          <w:sz w:val="20"/>
          <w:szCs w:val="20"/>
        </w:rPr>
      </w:pPr>
      <w:r w:rsidRPr="00EA1574">
        <w:rPr>
          <w:sz w:val="20"/>
          <w:szCs w:val="20"/>
        </w:rPr>
        <w:t>Prejudecăți și Stereotipuri Acestea pot submina dialogul. Este important să discutăm despre strategii concrete pentru combaterea prejudecăților, nu doar despre recunoașterea lor. Programele de sensibilizare și educație trebuie să fie parte integrantă a oricărei inițiative de dialog.</w:t>
      </w:r>
    </w:p>
    <w:p w14:paraId="30CAB128" w14:textId="77777777" w:rsidR="00EA1574" w:rsidRPr="00EA1574" w:rsidRDefault="00EA1574" w:rsidP="00EA1574">
      <w:pPr>
        <w:spacing w:after="0" w:line="240" w:lineRule="auto"/>
        <w:jc w:val="both"/>
        <w:rPr>
          <w:sz w:val="20"/>
          <w:szCs w:val="20"/>
        </w:rPr>
      </w:pPr>
      <w:r w:rsidRPr="00EA1574">
        <w:rPr>
          <w:sz w:val="20"/>
          <w:szCs w:val="20"/>
        </w:rPr>
        <w:t>Lipsa de Încredere Neîncrederea istorică între grupuri face dialogul dificil. Este crucial să se investească în construirea încrederii, poate prin inițiative de mediere sau prin intervenții comunitare care să dezvăluie și să abordeze aceste tensiuni.</w:t>
      </w:r>
    </w:p>
    <w:p w14:paraId="6AFB0BAB" w14:textId="77777777" w:rsidR="00EA1574" w:rsidRPr="00EA1574" w:rsidRDefault="00EA1574" w:rsidP="00EA1574">
      <w:pPr>
        <w:spacing w:after="0" w:line="240" w:lineRule="auto"/>
        <w:jc w:val="both"/>
        <w:rPr>
          <w:sz w:val="20"/>
          <w:szCs w:val="20"/>
        </w:rPr>
      </w:pPr>
      <w:r w:rsidRPr="00EA1574">
        <w:rPr>
          <w:sz w:val="20"/>
          <w:szCs w:val="20"/>
        </w:rPr>
        <w:t>Diferențe Culturale Aceste diferențe pot genera neînțelegeri, dar este important să ne concentrăm pe modalitățile de a celebra diversitatea culturală, creând un cadru în care diferențele să fie considerate o forță, nu un obstacol.</w:t>
      </w:r>
    </w:p>
    <w:p w14:paraId="3BFB8B8B" w14:textId="77777777" w:rsidR="00EA1574" w:rsidRPr="00EA1574" w:rsidRDefault="00EA1574" w:rsidP="00EA1574">
      <w:pPr>
        <w:spacing w:after="0" w:line="240" w:lineRule="auto"/>
        <w:jc w:val="both"/>
        <w:rPr>
          <w:b/>
          <w:bCs/>
          <w:sz w:val="20"/>
          <w:szCs w:val="20"/>
        </w:rPr>
      </w:pPr>
      <w:r w:rsidRPr="00EA1574">
        <w:rPr>
          <w:sz w:val="20"/>
          <w:szCs w:val="20"/>
        </w:rPr>
        <w:lastRenderedPageBreak/>
        <w:t xml:space="preserve">5. </w:t>
      </w:r>
      <w:r w:rsidRPr="00EA1574">
        <w:rPr>
          <w:b/>
          <w:bCs/>
          <w:sz w:val="20"/>
          <w:szCs w:val="20"/>
        </w:rPr>
        <w:t>Exemple de Dialog Comunitar în Practică</w:t>
      </w:r>
    </w:p>
    <w:p w14:paraId="3C25270B" w14:textId="77777777" w:rsidR="00EA1574" w:rsidRPr="00EA1574" w:rsidRDefault="00EA1574" w:rsidP="00EA1574">
      <w:pPr>
        <w:spacing w:after="0" w:line="240" w:lineRule="auto"/>
        <w:jc w:val="both"/>
        <w:rPr>
          <w:sz w:val="20"/>
          <w:szCs w:val="20"/>
        </w:rPr>
      </w:pPr>
      <w:r w:rsidRPr="00EA1574">
        <w:rPr>
          <w:sz w:val="20"/>
          <w:szCs w:val="20"/>
        </w:rPr>
        <w:t>Proiecte Locale Inițiativele locale care reunesc grupuri diverse sunt exemple de bună practică. Cu toate acestea, este esențial să evaluăm impactul acestor inițiative și să ne întrebăm cum pot fi replicate în alte comunități cu caracteristici diferite.</w:t>
      </w:r>
    </w:p>
    <w:p w14:paraId="785798C6" w14:textId="77777777" w:rsidR="00EA1574" w:rsidRPr="00EA1574" w:rsidRDefault="00EA1574" w:rsidP="00EA1574">
      <w:pPr>
        <w:spacing w:after="0" w:line="240" w:lineRule="auto"/>
        <w:jc w:val="both"/>
        <w:rPr>
          <w:sz w:val="20"/>
          <w:szCs w:val="20"/>
        </w:rPr>
      </w:pPr>
      <w:r w:rsidRPr="00EA1574">
        <w:rPr>
          <w:sz w:val="20"/>
          <w:szCs w:val="20"/>
        </w:rPr>
        <w:t>Parteneriate între Organizații ONG-urile joacă un rol crucial, dar este important să discutăm despre sustenabilitatea acestor parteneriate. Cum pot fi menținute relațiile pe termen lung între organizații mici și mari în contextul schimbărilor sociale și economice?</w:t>
      </w:r>
    </w:p>
    <w:p w14:paraId="538CE495" w14:textId="77777777" w:rsidR="00EA1574" w:rsidRPr="00EA1574" w:rsidRDefault="00EA1574" w:rsidP="00EA1574">
      <w:pPr>
        <w:spacing w:after="0" w:line="240" w:lineRule="auto"/>
        <w:jc w:val="both"/>
        <w:rPr>
          <w:sz w:val="20"/>
          <w:szCs w:val="20"/>
        </w:rPr>
      </w:pPr>
    </w:p>
    <w:p w14:paraId="09981834" w14:textId="5F29FD52" w:rsidR="00EA1574" w:rsidRPr="00AC349E" w:rsidRDefault="00EA1574" w:rsidP="00EA1574">
      <w:pPr>
        <w:spacing w:after="0" w:line="240" w:lineRule="auto"/>
        <w:jc w:val="both"/>
        <w:rPr>
          <w:sz w:val="20"/>
          <w:szCs w:val="20"/>
        </w:rPr>
      </w:pPr>
      <w:r w:rsidRPr="00EA1574">
        <w:rPr>
          <w:sz w:val="20"/>
          <w:szCs w:val="20"/>
        </w:rPr>
        <w:t>Concluzie Dialogul între grupuri comunitare este vital pentru construirea unei societăți incluzive. Deși provocările sunt numeroase, beneficiile sunt evidente. Este responsabilitatea fiecărei comunități să se angajeze activ în acest proces, dar este la fel de important să ne concentrăm pe soluții concrete și strategii de implementare care să asigure un dialog real și constructiv. Numai prin angajarea în dialog putem construi un viitor mai bun pentru toți. Aceasta concluzie ar putea beneficia de exemple specifice sau studii de caz care să ilustreze efectele pozitive ale dialogului comunitar.</w:t>
      </w:r>
    </w:p>
    <w:sectPr w:rsidR="00EA1574" w:rsidRPr="00AC349E" w:rsidSect="00CB59F9">
      <w:headerReference w:type="default" r:id="rId7"/>
      <w:footerReference w:type="default" r:id="rId8"/>
      <w:pgSz w:w="11906" w:h="16838" w:code="9"/>
      <w:pgMar w:top="1871" w:right="1418" w:bottom="1418" w:left="1418"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576F" w14:textId="77777777" w:rsidR="00671CFC" w:rsidRDefault="00671CFC" w:rsidP="00D01B5D">
      <w:pPr>
        <w:spacing w:after="0" w:line="240" w:lineRule="auto"/>
      </w:pPr>
      <w:r>
        <w:separator/>
      </w:r>
    </w:p>
  </w:endnote>
  <w:endnote w:type="continuationSeparator" w:id="0">
    <w:p w14:paraId="0A1EA9A7" w14:textId="77777777" w:rsidR="00671CFC" w:rsidRDefault="00671CFC" w:rsidP="00D0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641"/>
    </w:tblGrid>
    <w:tr w:rsidR="00D01B5D" w:rsidRPr="004C3C86" w14:paraId="426E871C" w14:textId="77777777" w:rsidTr="00902375">
      <w:tc>
        <w:tcPr>
          <w:tcW w:w="7655" w:type="dxa"/>
        </w:tcPr>
        <w:p w14:paraId="7A6EF4E5" w14:textId="79E3B70F" w:rsidR="00D01B5D" w:rsidRPr="004C3C86" w:rsidRDefault="00D01B5D" w:rsidP="00D01B5D">
          <w:pPr>
            <w:pStyle w:val="Footer"/>
          </w:pPr>
          <w:r w:rsidRPr="004C3C86">
            <w:t>Contract</w:t>
          </w:r>
          <w:r w:rsidR="00234435" w:rsidRPr="004C3C86">
            <w:t xml:space="preserve"> </w:t>
          </w:r>
          <w:r w:rsidR="00343F1D" w:rsidRPr="00343F1D">
            <w:t>PEO/48/PEO_P1/OP4/ESO4.2/PEO_A7/309187</w:t>
          </w:r>
        </w:p>
        <w:p w14:paraId="0DB5E3A4" w14:textId="1FC4C178" w:rsidR="00D01B5D" w:rsidRPr="004C3C86" w:rsidRDefault="008B1CC8" w:rsidP="00D01B5D">
          <w:pPr>
            <w:pStyle w:val="Footer"/>
          </w:pPr>
          <w:r w:rsidRPr="004C3C86">
            <w:t>Proiect</w:t>
          </w:r>
          <w:r w:rsidRPr="004C3C86">
            <w:rPr>
              <w:b/>
              <w:bCs/>
            </w:rPr>
            <w:t xml:space="preserve"> c</w:t>
          </w:r>
          <w:r w:rsidR="00C3616A" w:rsidRPr="004C3C86">
            <w:rPr>
              <w:b/>
              <w:bCs/>
            </w:rPr>
            <w:t>ofinanțat de Uniunea Europeană</w:t>
          </w:r>
          <w:r w:rsidR="00C3616A" w:rsidRPr="004C3C86">
            <w:t xml:space="preserve"> </w:t>
          </w:r>
          <w:r w:rsidR="00D01B5D" w:rsidRPr="004C3C86">
            <w:t>prin</w:t>
          </w:r>
        </w:p>
        <w:p w14:paraId="15EAB42B" w14:textId="6A3AF0C1" w:rsidR="00D01B5D" w:rsidRPr="004C3C86" w:rsidRDefault="00C3616A" w:rsidP="00D01B5D">
          <w:pPr>
            <w:pStyle w:val="Footer"/>
          </w:pPr>
          <w:r w:rsidRPr="004C3C86">
            <w:t>PROGRAMUL EDUCAȚIE ȘI OCUPARE 2021-2027</w:t>
          </w:r>
        </w:p>
      </w:tc>
      <w:tc>
        <w:tcPr>
          <w:tcW w:w="1641" w:type="dxa"/>
        </w:tcPr>
        <w:p w14:paraId="680E81D4" w14:textId="77777777" w:rsidR="00D01B5D" w:rsidRPr="004C3C86" w:rsidRDefault="00D01B5D" w:rsidP="00D01B5D">
          <w:pPr>
            <w:pStyle w:val="Footer"/>
            <w:jc w:val="right"/>
          </w:pPr>
          <w:r w:rsidRPr="004C3C86">
            <w:t xml:space="preserve">Pagina: </w:t>
          </w:r>
          <w:r w:rsidR="00927164" w:rsidRPr="004C3C86">
            <w:fldChar w:fldCharType="begin"/>
          </w:r>
          <w:r w:rsidRPr="004C3C86">
            <w:instrText xml:space="preserve"> PAGE   \* MERGEFORMAT </w:instrText>
          </w:r>
          <w:r w:rsidR="00927164" w:rsidRPr="004C3C86">
            <w:fldChar w:fldCharType="separate"/>
          </w:r>
          <w:r w:rsidR="00A33D39" w:rsidRPr="004C3C86">
            <w:rPr>
              <w:noProof/>
            </w:rPr>
            <w:t>1</w:t>
          </w:r>
          <w:r w:rsidR="00927164" w:rsidRPr="004C3C86">
            <w:fldChar w:fldCharType="end"/>
          </w:r>
          <w:r w:rsidRPr="004C3C86">
            <w:t>/</w:t>
          </w:r>
          <w:fldSimple w:instr=" NUMPAGES   \* MERGEFORMAT ">
            <w:r w:rsidR="00A33D39" w:rsidRPr="004C3C86">
              <w:rPr>
                <w:noProof/>
              </w:rPr>
              <w:t>1</w:t>
            </w:r>
          </w:fldSimple>
        </w:p>
        <w:p w14:paraId="0F97824D" w14:textId="77777777" w:rsidR="00D01B5D" w:rsidRPr="004C3C86" w:rsidRDefault="00D01B5D" w:rsidP="00D01B5D">
          <w:pPr>
            <w:pStyle w:val="Footer"/>
            <w:jc w:val="right"/>
          </w:pPr>
        </w:p>
      </w:tc>
    </w:tr>
  </w:tbl>
  <w:p w14:paraId="25420D6C" w14:textId="77777777" w:rsidR="00D01B5D" w:rsidRPr="004C3C86" w:rsidRDefault="00D01B5D" w:rsidP="00B844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935D4" w14:textId="77777777" w:rsidR="00671CFC" w:rsidRDefault="00671CFC" w:rsidP="00D01B5D">
      <w:pPr>
        <w:spacing w:after="0" w:line="240" w:lineRule="auto"/>
      </w:pPr>
      <w:r>
        <w:separator/>
      </w:r>
    </w:p>
  </w:footnote>
  <w:footnote w:type="continuationSeparator" w:id="0">
    <w:p w14:paraId="6D18A208" w14:textId="77777777" w:rsidR="00671CFC" w:rsidRDefault="00671CFC" w:rsidP="00D01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7207" w14:textId="281BF669" w:rsidR="00D01B5D" w:rsidRDefault="002C37D5" w:rsidP="00B20814">
    <w:pPr>
      <w:pStyle w:val="Header"/>
      <w:jc w:val="center"/>
      <w:rPr>
        <w:noProof/>
      </w:rPr>
    </w:pPr>
    <w:r>
      <w:rPr>
        <w:noProof/>
      </w:rPr>
      <w:drawing>
        <wp:inline distT="0" distB="0" distL="0" distR="0" wp14:anchorId="1A6B7649" wp14:editId="69A633BE">
          <wp:extent cx="3443605" cy="724535"/>
          <wp:effectExtent l="0" t="0" r="0" b="0"/>
          <wp:docPr id="1255535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3605" cy="724535"/>
                  </a:xfrm>
                  <a:prstGeom prst="rect">
                    <a:avLst/>
                  </a:prstGeom>
                  <a:noFill/>
                  <a:ln>
                    <a:noFill/>
                  </a:ln>
                </pic:spPr>
              </pic:pic>
            </a:graphicData>
          </a:graphic>
        </wp:inline>
      </w:drawing>
    </w:r>
    <w:r w:rsidR="00B20814">
      <w:rPr>
        <w:noProof/>
      </w:rPr>
      <w:tab/>
    </w:r>
    <w:r w:rsidR="00B667F0" w:rsidRPr="00B667F0">
      <w:rPr>
        <w:noProof/>
      </w:rPr>
      <w:drawing>
        <wp:inline distT="0" distB="0" distL="0" distR="0" wp14:anchorId="3F61281F" wp14:editId="5F98FDDE">
          <wp:extent cx="720000" cy="720000"/>
          <wp:effectExtent l="0" t="0" r="0" b="0"/>
          <wp:docPr id="2001073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11638" name=""/>
                  <pic:cNvPicPr/>
                </pic:nvPicPr>
                <pic:blipFill>
                  <a:blip r:embed="rId2"/>
                  <a:stretch>
                    <a:fillRect/>
                  </a:stretch>
                </pic:blipFill>
                <pic:spPr>
                  <a:xfrm>
                    <a:off x="0" y="0"/>
                    <a:ext cx="720000" cy="72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5D"/>
    <w:rsid w:val="00002077"/>
    <w:rsid w:val="000146BF"/>
    <w:rsid w:val="00025EBA"/>
    <w:rsid w:val="00032D1B"/>
    <w:rsid w:val="00073476"/>
    <w:rsid w:val="00097F83"/>
    <w:rsid w:val="00101D66"/>
    <w:rsid w:val="00127773"/>
    <w:rsid w:val="0015152B"/>
    <w:rsid w:val="001A1854"/>
    <w:rsid w:val="002021D4"/>
    <w:rsid w:val="00234435"/>
    <w:rsid w:val="00257314"/>
    <w:rsid w:val="0026126D"/>
    <w:rsid w:val="002B3F79"/>
    <w:rsid w:val="002C37D5"/>
    <w:rsid w:val="0032379E"/>
    <w:rsid w:val="0034098E"/>
    <w:rsid w:val="00342ECC"/>
    <w:rsid w:val="00343F1D"/>
    <w:rsid w:val="003440D6"/>
    <w:rsid w:val="003C4F21"/>
    <w:rsid w:val="003E6A49"/>
    <w:rsid w:val="003E6C16"/>
    <w:rsid w:val="00472DCB"/>
    <w:rsid w:val="004C3C86"/>
    <w:rsid w:val="004E704E"/>
    <w:rsid w:val="0051738D"/>
    <w:rsid w:val="00537090"/>
    <w:rsid w:val="00555627"/>
    <w:rsid w:val="005D0284"/>
    <w:rsid w:val="005E5EFD"/>
    <w:rsid w:val="0062009F"/>
    <w:rsid w:val="00671CFC"/>
    <w:rsid w:val="00672C41"/>
    <w:rsid w:val="006C4FF9"/>
    <w:rsid w:val="006E0BB5"/>
    <w:rsid w:val="006E21D8"/>
    <w:rsid w:val="006E469C"/>
    <w:rsid w:val="006E689F"/>
    <w:rsid w:val="00781672"/>
    <w:rsid w:val="007B086D"/>
    <w:rsid w:val="007B71DB"/>
    <w:rsid w:val="00811334"/>
    <w:rsid w:val="00862186"/>
    <w:rsid w:val="008B1598"/>
    <w:rsid w:val="008B1ABE"/>
    <w:rsid w:val="008B1CC8"/>
    <w:rsid w:val="008B4A7F"/>
    <w:rsid w:val="00901E8B"/>
    <w:rsid w:val="00905AE9"/>
    <w:rsid w:val="0091624E"/>
    <w:rsid w:val="009261C4"/>
    <w:rsid w:val="00927164"/>
    <w:rsid w:val="009C09C1"/>
    <w:rsid w:val="00A16F31"/>
    <w:rsid w:val="00A33D39"/>
    <w:rsid w:val="00AC349E"/>
    <w:rsid w:val="00B20814"/>
    <w:rsid w:val="00B667F0"/>
    <w:rsid w:val="00B844FB"/>
    <w:rsid w:val="00BC5C76"/>
    <w:rsid w:val="00C02C31"/>
    <w:rsid w:val="00C3616A"/>
    <w:rsid w:val="00C6270B"/>
    <w:rsid w:val="00CA167D"/>
    <w:rsid w:val="00CB0669"/>
    <w:rsid w:val="00CB59F9"/>
    <w:rsid w:val="00CE37A4"/>
    <w:rsid w:val="00D01B5D"/>
    <w:rsid w:val="00D93F42"/>
    <w:rsid w:val="00DE722A"/>
    <w:rsid w:val="00E05097"/>
    <w:rsid w:val="00E10D5C"/>
    <w:rsid w:val="00E37987"/>
    <w:rsid w:val="00EA1574"/>
    <w:rsid w:val="00EC704F"/>
    <w:rsid w:val="00EF7E97"/>
    <w:rsid w:val="00F044CE"/>
    <w:rsid w:val="00F20DBB"/>
    <w:rsid w:val="00F26334"/>
    <w:rsid w:val="00F669F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B5DDD"/>
  <w15:docId w15:val="{450E0911-9738-465E-91ED-2D08D93C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1B5D"/>
  </w:style>
  <w:style w:type="paragraph" w:styleId="Footer">
    <w:name w:val="footer"/>
    <w:basedOn w:val="Normal"/>
    <w:link w:val="FooterChar"/>
    <w:uiPriority w:val="99"/>
    <w:unhideWhenUsed/>
    <w:rsid w:val="00D01B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1B5D"/>
  </w:style>
  <w:style w:type="table" w:styleId="TableGrid">
    <w:name w:val="Table Grid"/>
    <w:basedOn w:val="TableNormal"/>
    <w:uiPriority w:val="39"/>
    <w:rsid w:val="00D0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4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83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16D84-B790-466A-B4B8-225593F7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dc:creator>
  <cp:keywords/>
  <dc:description/>
  <cp:lastModifiedBy>Ciprian Sarca</cp:lastModifiedBy>
  <cp:revision>4</cp:revision>
  <cp:lastPrinted>2024-05-02T08:35:00Z</cp:lastPrinted>
  <dcterms:created xsi:type="dcterms:W3CDTF">2025-03-31T16:24:00Z</dcterms:created>
  <dcterms:modified xsi:type="dcterms:W3CDTF">2025-04-01T10:08:00Z</dcterms:modified>
</cp:coreProperties>
</file>