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5D032" w14:textId="77777777" w:rsidR="00FB485E" w:rsidRPr="001F3624" w:rsidRDefault="00FB485E" w:rsidP="00FB485E">
      <w:pPr>
        <w:spacing w:after="0" w:line="240" w:lineRule="auto"/>
        <w:rPr>
          <w:rFonts w:cstheme="minorHAnsi"/>
          <w:b/>
          <w:color w:val="ED7D31" w:themeColor="accent2"/>
        </w:rPr>
      </w:pPr>
      <w:r w:rsidRPr="001F3624">
        <w:rPr>
          <w:rFonts w:cstheme="minorHAnsi"/>
          <w:b/>
          <w:color w:val="ED7D31" w:themeColor="accent2"/>
        </w:rPr>
        <w:t>PROGRAMUL EDUCAȚIE ȘI OCUPARE 2021-2027</w:t>
      </w:r>
    </w:p>
    <w:p w14:paraId="1BC0C7DD" w14:textId="77777777" w:rsidR="00FB485E" w:rsidRPr="001F3624" w:rsidRDefault="00FB485E" w:rsidP="00FB485E">
      <w:pPr>
        <w:spacing w:after="0" w:line="240" w:lineRule="auto"/>
        <w:rPr>
          <w:rFonts w:cstheme="minorHAnsi"/>
          <w:sz w:val="20"/>
          <w:szCs w:val="20"/>
        </w:rPr>
      </w:pPr>
      <w:r w:rsidRPr="001F3624">
        <w:rPr>
          <w:rFonts w:cstheme="minorHAnsi"/>
          <w:sz w:val="20"/>
          <w:szCs w:val="20"/>
        </w:rPr>
        <w:t>Prioritate: P01 „Modernizarea instituțiilor pieței muncii“</w:t>
      </w:r>
    </w:p>
    <w:p w14:paraId="4DC01784" w14:textId="77777777" w:rsidR="00FB485E" w:rsidRPr="001F3624" w:rsidRDefault="00FB485E" w:rsidP="00FB485E">
      <w:pPr>
        <w:spacing w:after="0" w:line="240" w:lineRule="auto"/>
        <w:rPr>
          <w:rFonts w:cstheme="minorHAnsi"/>
          <w:sz w:val="20"/>
          <w:szCs w:val="20"/>
        </w:rPr>
      </w:pPr>
      <w:r w:rsidRPr="001F3624">
        <w:rPr>
          <w:rFonts w:cstheme="minorHAnsi"/>
          <w:sz w:val="20"/>
          <w:szCs w:val="20"/>
        </w:rPr>
        <w:t>Obiectiv specific: ESO4.2 „Modernizarea instituțiilor și a serviciilor pieței muncii pentru ca acestea să evalueze și să anticipeze necesitățile în materie de competențe, să asigure o asistență promptă și personalizată și să sprijine corelarea cererii și a ofertei, tranzițiile și mobilitatea pe piața muncii (FSE+)“</w:t>
      </w:r>
    </w:p>
    <w:p w14:paraId="5D52FF90" w14:textId="77777777" w:rsidR="00FB485E" w:rsidRPr="001F3624" w:rsidRDefault="00FB485E" w:rsidP="00FB485E">
      <w:pPr>
        <w:spacing w:after="0" w:line="240" w:lineRule="auto"/>
        <w:jc w:val="both"/>
        <w:rPr>
          <w:rFonts w:cstheme="minorHAnsi"/>
          <w:sz w:val="20"/>
          <w:szCs w:val="20"/>
        </w:rPr>
      </w:pPr>
      <w:r w:rsidRPr="001F3624">
        <w:rPr>
          <w:rFonts w:cstheme="minorHAnsi"/>
          <w:sz w:val="20"/>
          <w:szCs w:val="20"/>
        </w:rPr>
        <w:t>Cod proiect: PEO/48/PEO_P1/OP4/ESO4.2/PEO_A7/309187</w:t>
      </w:r>
    </w:p>
    <w:p w14:paraId="542324A2" w14:textId="77777777" w:rsidR="00FB485E" w:rsidRDefault="00FB485E" w:rsidP="00FB485E">
      <w:pPr>
        <w:spacing w:after="0" w:line="240" w:lineRule="auto"/>
        <w:jc w:val="both"/>
        <w:rPr>
          <w:rFonts w:cstheme="minorHAnsi"/>
        </w:rPr>
      </w:pPr>
      <w:r w:rsidRPr="001F3624">
        <w:rPr>
          <w:rFonts w:cstheme="minorHAnsi"/>
          <w:sz w:val="20"/>
          <w:szCs w:val="20"/>
        </w:rPr>
        <w:t xml:space="preserve">Titlu Proiect: </w:t>
      </w:r>
      <w:r w:rsidRPr="001F3624">
        <w:rPr>
          <w:rFonts w:cstheme="minorHAnsi"/>
        </w:rPr>
        <w:t>Dialog social și parteneriate pentru Ocupare și Formare</w:t>
      </w:r>
    </w:p>
    <w:p w14:paraId="71645C99" w14:textId="0756F6B5" w:rsidR="00853E5D" w:rsidRPr="00121F28" w:rsidRDefault="00853E5D" w:rsidP="00853E5D">
      <w:pPr>
        <w:spacing w:after="0" w:line="240" w:lineRule="auto"/>
      </w:pPr>
      <w:r w:rsidRPr="00121F28">
        <w:t>A 1-Acțiuni care vizează îmbunătățirea capacității și digitalizarea organizațiilor societății civile</w:t>
      </w:r>
    </w:p>
    <w:p w14:paraId="333D9917" w14:textId="77777777" w:rsidR="00DC44DA" w:rsidRDefault="00DC44DA" w:rsidP="00EF3EB9">
      <w:pPr>
        <w:spacing w:after="0" w:line="240" w:lineRule="auto"/>
        <w:jc w:val="both"/>
        <w:rPr>
          <w:rFonts w:cstheme="minorHAnsi"/>
          <w:b/>
        </w:rPr>
      </w:pPr>
    </w:p>
    <w:p w14:paraId="0B3AF98A" w14:textId="77777777" w:rsidR="00C4274A" w:rsidRDefault="00C4274A" w:rsidP="00421535">
      <w:pPr>
        <w:spacing w:after="0" w:line="240" w:lineRule="auto"/>
        <w:jc w:val="both"/>
        <w:rPr>
          <w:rFonts w:cstheme="minorHAnsi"/>
          <w:b/>
          <w:bCs/>
        </w:rPr>
      </w:pPr>
    </w:p>
    <w:p w14:paraId="0C2637D9" w14:textId="77777777" w:rsidR="00C4274A" w:rsidRDefault="00C4274A" w:rsidP="00421535">
      <w:pPr>
        <w:spacing w:after="0" w:line="240" w:lineRule="auto"/>
        <w:jc w:val="both"/>
        <w:rPr>
          <w:rFonts w:cstheme="minorHAnsi"/>
          <w:b/>
          <w:bCs/>
        </w:rPr>
      </w:pPr>
    </w:p>
    <w:p w14:paraId="09D356C2" w14:textId="0D4B0C56" w:rsidR="00EF3EB9" w:rsidRPr="00EF3EB9" w:rsidRDefault="005D0E2A" w:rsidP="00CB5421">
      <w:pPr>
        <w:spacing w:after="0" w:line="240" w:lineRule="auto"/>
        <w:jc w:val="center"/>
        <w:rPr>
          <w:rFonts w:cstheme="minorHAnsi"/>
          <w:b/>
        </w:rPr>
      </w:pPr>
      <w:r w:rsidRPr="005D0E2A">
        <w:rPr>
          <w:rFonts w:cstheme="minorHAnsi"/>
          <w:b/>
        </w:rPr>
        <w:t>Compararea politicilor de sprijin pentru angajarea persoanelor dezavantajate</w:t>
      </w:r>
    </w:p>
    <w:p w14:paraId="397B8F8F" w14:textId="77777777" w:rsidR="005D0E2A" w:rsidRPr="005D0E2A" w:rsidRDefault="005D0E2A" w:rsidP="005D0E2A">
      <w:pPr>
        <w:spacing w:before="120" w:after="0" w:line="360" w:lineRule="auto"/>
        <w:jc w:val="both"/>
        <w:rPr>
          <w:rFonts w:cstheme="minorHAnsi"/>
          <w:lang w:val="en-GB"/>
        </w:rPr>
      </w:pPr>
      <w:r w:rsidRPr="005D0E2A">
        <w:rPr>
          <w:rFonts w:cstheme="minorHAnsi"/>
          <w:lang w:val="en-GB"/>
        </w:rPr>
        <w:t>Politicile de sprijin pentru angajarea persoanelor dezavantajate din România, Franța, Germania și Danemarca au obiective comune, cum ar fi integrarea profesională a persoanelor aflate în situații de vulnerabilitate (de exemplu, persoane cu dizabilități, șomeri de lungă durată, persoane din grupuri minoritare, femei, tineri sau vârstnici), dar diferențele majore apar în modul în care sunt implementate aceste politici, resursele alocate și structura legislativă.</w:t>
      </w:r>
    </w:p>
    <w:p w14:paraId="543F2E59" w14:textId="77777777" w:rsidR="005D0E2A" w:rsidRPr="005D0E2A" w:rsidRDefault="005D0E2A" w:rsidP="005D0E2A">
      <w:pPr>
        <w:spacing w:before="120" w:after="0" w:line="360" w:lineRule="auto"/>
        <w:jc w:val="both"/>
        <w:rPr>
          <w:rFonts w:cstheme="minorHAnsi"/>
          <w:b/>
          <w:bCs/>
          <w:lang w:val="en-GB"/>
        </w:rPr>
      </w:pPr>
      <w:r w:rsidRPr="005D0E2A">
        <w:rPr>
          <w:rFonts w:cstheme="minorHAnsi"/>
          <w:b/>
          <w:bCs/>
          <w:lang w:val="en-GB"/>
        </w:rPr>
        <w:t>1. România</w:t>
      </w:r>
    </w:p>
    <w:p w14:paraId="7BC454BA" w14:textId="77777777" w:rsidR="006A053E" w:rsidRDefault="005D0E2A" w:rsidP="005D0E2A">
      <w:pPr>
        <w:spacing w:before="120" w:after="0" w:line="360" w:lineRule="auto"/>
        <w:jc w:val="both"/>
        <w:rPr>
          <w:rFonts w:cstheme="minorHAnsi"/>
          <w:lang w:val="en-GB"/>
        </w:rPr>
      </w:pPr>
      <w:r w:rsidRPr="005D0E2A">
        <w:rPr>
          <w:rFonts w:cstheme="minorHAnsi"/>
          <w:lang w:val="en-GB"/>
        </w:rPr>
        <w:t xml:space="preserve">În România, sprijinul pentru angajarea persoanelor dezavantajate este reglementat de politica națională în domeniul ocupării forței de muncă și este adesea implementat prin programe finanțate din fonduri europene. </w:t>
      </w:r>
    </w:p>
    <w:p w14:paraId="16E1FE87" w14:textId="73E38DD0" w:rsidR="005D0E2A" w:rsidRPr="005D0E2A" w:rsidRDefault="005D0E2A" w:rsidP="005D0E2A">
      <w:pPr>
        <w:spacing w:before="120" w:after="0" w:line="360" w:lineRule="auto"/>
        <w:jc w:val="both"/>
        <w:rPr>
          <w:rFonts w:cstheme="minorHAnsi"/>
          <w:lang w:val="en-GB"/>
        </w:rPr>
      </w:pPr>
      <w:r w:rsidRPr="005D0E2A">
        <w:rPr>
          <w:rFonts w:cstheme="minorHAnsi"/>
          <w:lang w:val="en-GB"/>
        </w:rPr>
        <w:t>Politicile specifice includ:</w:t>
      </w:r>
    </w:p>
    <w:p w14:paraId="76EE2D9F" w14:textId="77777777" w:rsidR="005D0E2A" w:rsidRPr="005D0E2A" w:rsidRDefault="005D0E2A" w:rsidP="0006061A">
      <w:pPr>
        <w:numPr>
          <w:ilvl w:val="0"/>
          <w:numId w:val="55"/>
        </w:numPr>
        <w:spacing w:before="120" w:after="0" w:line="360" w:lineRule="auto"/>
        <w:jc w:val="both"/>
        <w:rPr>
          <w:rFonts w:cstheme="minorHAnsi"/>
          <w:lang w:val="en-GB"/>
        </w:rPr>
      </w:pPr>
      <w:r w:rsidRPr="005D0E2A">
        <w:rPr>
          <w:rFonts w:cstheme="minorHAnsi"/>
          <w:b/>
          <w:bCs/>
          <w:lang w:val="en-GB"/>
        </w:rPr>
        <w:t>Subvenții pentru angajatori</w:t>
      </w:r>
      <w:r w:rsidRPr="005D0E2A">
        <w:rPr>
          <w:rFonts w:cstheme="minorHAnsi"/>
          <w:lang w:val="en-GB"/>
        </w:rPr>
        <w:t xml:space="preserve"> care angajează persoane din grupuri vulnerabile, cum ar fi șomeri de lungă durată, persoane cu dizabilități și tineri NEET (Not in Education, Employment, or Training).</w:t>
      </w:r>
    </w:p>
    <w:p w14:paraId="2A592FE3" w14:textId="77777777" w:rsidR="005D0E2A" w:rsidRPr="005D0E2A" w:rsidRDefault="005D0E2A" w:rsidP="0006061A">
      <w:pPr>
        <w:numPr>
          <w:ilvl w:val="0"/>
          <w:numId w:val="55"/>
        </w:numPr>
        <w:spacing w:before="120" w:after="0" w:line="360" w:lineRule="auto"/>
        <w:jc w:val="both"/>
        <w:rPr>
          <w:rFonts w:cstheme="minorHAnsi"/>
          <w:lang w:val="en-GB"/>
        </w:rPr>
      </w:pPr>
      <w:r w:rsidRPr="005D0E2A">
        <w:rPr>
          <w:rFonts w:cstheme="minorHAnsi"/>
          <w:b/>
          <w:bCs/>
          <w:lang w:val="en-GB"/>
        </w:rPr>
        <w:t>Măsuri de formare profesională</w:t>
      </w:r>
      <w:r w:rsidRPr="005D0E2A">
        <w:rPr>
          <w:rFonts w:cstheme="minorHAnsi"/>
          <w:lang w:val="en-GB"/>
        </w:rPr>
        <w:t xml:space="preserve"> pentru persoanele dezavantajate, incluzând cursuri de recalificare, instruire practică și stagii.</w:t>
      </w:r>
    </w:p>
    <w:p w14:paraId="3A8EEC82" w14:textId="77777777" w:rsidR="005D0E2A" w:rsidRPr="005D0E2A" w:rsidRDefault="005D0E2A" w:rsidP="0006061A">
      <w:pPr>
        <w:numPr>
          <w:ilvl w:val="0"/>
          <w:numId w:val="55"/>
        </w:numPr>
        <w:spacing w:before="120" w:after="0" w:line="360" w:lineRule="auto"/>
        <w:jc w:val="both"/>
        <w:rPr>
          <w:rFonts w:cstheme="minorHAnsi"/>
          <w:lang w:val="en-GB"/>
        </w:rPr>
      </w:pPr>
      <w:r w:rsidRPr="005D0E2A">
        <w:rPr>
          <w:rFonts w:cstheme="minorHAnsi"/>
          <w:b/>
          <w:bCs/>
          <w:lang w:val="en-GB"/>
        </w:rPr>
        <w:t>Sprijin pentru integrarea pe piața muncii</w:t>
      </w:r>
      <w:r w:rsidRPr="005D0E2A">
        <w:rPr>
          <w:rFonts w:cstheme="minorHAnsi"/>
          <w:lang w:val="en-GB"/>
        </w:rPr>
        <w:t>, prin consiliere, orientare profesională și servicii de mediere pentru persoanele vulnerabile.</w:t>
      </w:r>
    </w:p>
    <w:p w14:paraId="1814174A" w14:textId="77777777" w:rsidR="005D0E2A" w:rsidRPr="005D0E2A" w:rsidRDefault="005D0E2A" w:rsidP="0006061A">
      <w:pPr>
        <w:numPr>
          <w:ilvl w:val="0"/>
          <w:numId w:val="55"/>
        </w:numPr>
        <w:spacing w:before="120" w:after="0" w:line="360" w:lineRule="auto"/>
        <w:jc w:val="both"/>
        <w:rPr>
          <w:rFonts w:cstheme="minorHAnsi"/>
          <w:lang w:val="en-GB"/>
        </w:rPr>
      </w:pPr>
      <w:r w:rsidRPr="005D0E2A">
        <w:rPr>
          <w:rFonts w:cstheme="minorHAnsi"/>
          <w:b/>
          <w:bCs/>
          <w:lang w:val="en-GB"/>
        </w:rPr>
        <w:t>Legea 448/2006</w:t>
      </w:r>
      <w:r w:rsidRPr="005D0E2A">
        <w:rPr>
          <w:rFonts w:cstheme="minorHAnsi"/>
          <w:lang w:val="en-GB"/>
        </w:rPr>
        <w:t xml:space="preserve"> privind protecția și promovarea drepturilor persoanelor cu handicap, care include stimulente pentru angajarea persoanelor cu dizabilități.</w:t>
      </w:r>
    </w:p>
    <w:p w14:paraId="55CE201D" w14:textId="77777777" w:rsidR="005D0E2A" w:rsidRDefault="005D0E2A" w:rsidP="005D0E2A">
      <w:pPr>
        <w:spacing w:before="120" w:after="0" w:line="360" w:lineRule="auto"/>
        <w:jc w:val="both"/>
        <w:rPr>
          <w:rFonts w:cstheme="minorHAnsi"/>
          <w:lang w:val="en-GB"/>
        </w:rPr>
      </w:pPr>
      <w:r w:rsidRPr="005D0E2A">
        <w:rPr>
          <w:rFonts w:cstheme="minorHAnsi"/>
          <w:lang w:val="en-GB"/>
        </w:rPr>
        <w:t>Deși există un cadru legislativ bine definit, implementarea acestor măsuri este adesea influențată de resursele limitate și de dificultățile administrative.</w:t>
      </w:r>
    </w:p>
    <w:p w14:paraId="1CBD8D11" w14:textId="58924479" w:rsidR="00173B10" w:rsidRPr="00173B10" w:rsidRDefault="00173B10" w:rsidP="00173B10">
      <w:pPr>
        <w:spacing w:before="120" w:after="0" w:line="360" w:lineRule="auto"/>
        <w:jc w:val="both"/>
        <w:rPr>
          <w:rFonts w:cstheme="minorHAnsi"/>
          <w:b/>
          <w:bCs/>
          <w:lang w:val="en-GB"/>
        </w:rPr>
      </w:pPr>
      <w:r w:rsidRPr="00173B10">
        <w:rPr>
          <w:rFonts w:cstheme="minorHAnsi"/>
          <w:b/>
          <w:bCs/>
          <w:lang w:val="en-GB"/>
        </w:rPr>
        <w:t>În implementarea politicilor pieței muncii pentru angajarea persoanelor dezavantajate în România, pot apărea diverse probleme și obstacole:</w:t>
      </w:r>
    </w:p>
    <w:p w14:paraId="6C885BB4" w14:textId="3CC79432" w:rsidR="00173B10" w:rsidRPr="00173B10" w:rsidRDefault="00173B10" w:rsidP="0006061A">
      <w:pPr>
        <w:numPr>
          <w:ilvl w:val="0"/>
          <w:numId w:val="50"/>
        </w:numPr>
        <w:spacing w:before="120" w:after="0" w:line="360" w:lineRule="auto"/>
        <w:jc w:val="both"/>
        <w:rPr>
          <w:rFonts w:cstheme="minorHAnsi"/>
          <w:lang w:val="en-GB"/>
        </w:rPr>
      </w:pPr>
      <w:r w:rsidRPr="00173B10">
        <w:rPr>
          <w:rFonts w:cstheme="minorHAnsi"/>
          <w:b/>
          <w:bCs/>
          <w:lang w:val="en-GB"/>
        </w:rPr>
        <w:lastRenderedPageBreak/>
        <w:t>Stigmatizarea și discriminarea</w:t>
      </w:r>
      <w:r w:rsidRPr="00173B10">
        <w:rPr>
          <w:rFonts w:cstheme="minorHAnsi"/>
          <w:lang w:val="en-GB"/>
        </w:rPr>
        <w:t xml:space="preserve">: Persoanele dezavantajate întâmpina </w:t>
      </w:r>
      <w:r>
        <w:rPr>
          <w:rFonts w:cstheme="minorHAnsi"/>
          <w:lang w:val="en-GB"/>
        </w:rPr>
        <w:t xml:space="preserve">în multe cazuri </w:t>
      </w:r>
      <w:r w:rsidRPr="00173B10">
        <w:rPr>
          <w:rFonts w:cstheme="minorHAnsi"/>
          <w:lang w:val="en-GB"/>
        </w:rPr>
        <w:t>prejudecăți și discriminare în procesul de recrutare și la locul de muncă.</w:t>
      </w:r>
    </w:p>
    <w:p w14:paraId="4632EC7F" w14:textId="77777777" w:rsidR="00173B10" w:rsidRPr="00173B10" w:rsidRDefault="00173B10" w:rsidP="0006061A">
      <w:pPr>
        <w:numPr>
          <w:ilvl w:val="0"/>
          <w:numId w:val="50"/>
        </w:numPr>
        <w:spacing w:before="120" w:after="0" w:line="360" w:lineRule="auto"/>
        <w:jc w:val="both"/>
        <w:rPr>
          <w:rFonts w:cstheme="minorHAnsi"/>
          <w:lang w:val="en-GB"/>
        </w:rPr>
      </w:pPr>
      <w:r w:rsidRPr="00173B10">
        <w:rPr>
          <w:rFonts w:cstheme="minorHAnsi"/>
          <w:b/>
          <w:bCs/>
          <w:lang w:val="en-GB"/>
        </w:rPr>
        <w:t>Lipsa accesului la educație și formare adecvată</w:t>
      </w:r>
      <w:r w:rsidRPr="00173B10">
        <w:rPr>
          <w:rFonts w:cstheme="minorHAnsi"/>
          <w:lang w:val="en-GB"/>
        </w:rPr>
        <w:t>: Mulți dintre cei din categorii vulnerabile nu beneficiază de suficiente oportunități de formare și reconversie profesională pentru a-și dezvolta competențele.</w:t>
      </w:r>
    </w:p>
    <w:p w14:paraId="2AA79164" w14:textId="3CA7BE6C" w:rsidR="00173B10" w:rsidRPr="00173B10" w:rsidRDefault="00173B10" w:rsidP="0006061A">
      <w:pPr>
        <w:numPr>
          <w:ilvl w:val="0"/>
          <w:numId w:val="50"/>
        </w:numPr>
        <w:spacing w:before="120" w:after="0" w:line="360" w:lineRule="auto"/>
        <w:jc w:val="both"/>
        <w:rPr>
          <w:rFonts w:cstheme="minorHAnsi"/>
          <w:lang w:val="en-GB"/>
        </w:rPr>
      </w:pPr>
      <w:r w:rsidRPr="00173B10">
        <w:rPr>
          <w:rFonts w:cstheme="minorHAnsi"/>
          <w:b/>
          <w:bCs/>
          <w:lang w:val="en-GB"/>
        </w:rPr>
        <w:t>Infrastructura deficitară și lipsa serviciilor de suport</w:t>
      </w:r>
      <w:r w:rsidRPr="00173B10">
        <w:rPr>
          <w:rFonts w:cstheme="minorHAnsi"/>
          <w:lang w:val="en-GB"/>
        </w:rPr>
        <w:t xml:space="preserve">: Unele regiuni, în special cele rurale, </w:t>
      </w:r>
      <w:r w:rsidR="00C4274A">
        <w:rPr>
          <w:rFonts w:cstheme="minorHAnsi"/>
          <w:lang w:val="en-GB"/>
        </w:rPr>
        <w:t>au</w:t>
      </w:r>
      <w:r w:rsidRPr="00173B10">
        <w:rPr>
          <w:rFonts w:cstheme="minorHAnsi"/>
          <w:lang w:val="en-GB"/>
        </w:rPr>
        <w:t xml:space="preserve"> o infrastructură limitată și acces redus la servicii de îngrijire a copiilor, transport public și alte facilități necesare pentru a susține angajarea.</w:t>
      </w:r>
    </w:p>
    <w:p w14:paraId="79816737" w14:textId="14FD91B9" w:rsidR="00173B10" w:rsidRPr="00173B10" w:rsidRDefault="00173B10" w:rsidP="0006061A">
      <w:pPr>
        <w:numPr>
          <w:ilvl w:val="0"/>
          <w:numId w:val="50"/>
        </w:numPr>
        <w:spacing w:before="120" w:after="0" w:line="360" w:lineRule="auto"/>
        <w:jc w:val="both"/>
        <w:rPr>
          <w:rFonts w:cstheme="minorHAnsi"/>
          <w:lang w:val="en-GB"/>
        </w:rPr>
      </w:pPr>
      <w:r w:rsidRPr="00173B10">
        <w:rPr>
          <w:rFonts w:cstheme="minorHAnsi"/>
          <w:b/>
          <w:bCs/>
          <w:lang w:val="en-GB"/>
        </w:rPr>
        <w:t>Coerența politicilor și coordonarea instituțională</w:t>
      </w:r>
      <w:r w:rsidRPr="00173B10">
        <w:rPr>
          <w:rFonts w:cstheme="minorHAnsi"/>
          <w:lang w:val="en-GB"/>
        </w:rPr>
        <w:t xml:space="preserve">: Uneori, există </w:t>
      </w:r>
      <w:r>
        <w:rPr>
          <w:rFonts w:cstheme="minorHAnsi"/>
          <w:lang w:val="en-GB"/>
        </w:rPr>
        <w:t>o lipsă în</w:t>
      </w:r>
      <w:r w:rsidRPr="00173B10">
        <w:rPr>
          <w:rFonts w:cstheme="minorHAnsi"/>
          <w:lang w:val="en-GB"/>
        </w:rPr>
        <w:t xml:space="preserve"> coordonarea între  instituții</w:t>
      </w:r>
      <w:r>
        <w:rPr>
          <w:rFonts w:cstheme="minorHAnsi"/>
          <w:lang w:val="en-GB"/>
        </w:rPr>
        <w:t>le</w:t>
      </w:r>
      <w:r w:rsidRPr="00173B10">
        <w:rPr>
          <w:rFonts w:cstheme="minorHAnsi"/>
          <w:lang w:val="en-GB"/>
        </w:rPr>
        <w:t xml:space="preserve"> implicate în implementarea politicilor de sprijin pentru angajarea persoanelor dezavantajate.</w:t>
      </w:r>
    </w:p>
    <w:p w14:paraId="7461AA87" w14:textId="221CF525" w:rsidR="00173B10" w:rsidRPr="00173B10" w:rsidRDefault="00173B10" w:rsidP="00173B10">
      <w:pPr>
        <w:spacing w:before="120" w:after="0" w:line="360" w:lineRule="auto"/>
        <w:jc w:val="both"/>
        <w:rPr>
          <w:rFonts w:cstheme="minorHAnsi"/>
          <w:b/>
          <w:bCs/>
          <w:lang w:val="en-GB"/>
        </w:rPr>
      </w:pPr>
      <w:r>
        <w:rPr>
          <w:rFonts w:cstheme="minorHAnsi"/>
          <w:b/>
          <w:bCs/>
          <w:lang w:val="en-GB"/>
        </w:rPr>
        <w:t>Pentru a diminua impactul acestor obstacole propunem următoarele s</w:t>
      </w:r>
      <w:r w:rsidRPr="00173B10">
        <w:rPr>
          <w:rFonts w:cstheme="minorHAnsi"/>
          <w:b/>
          <w:bCs/>
          <w:lang w:val="en-GB"/>
        </w:rPr>
        <w:t>oluții:</w:t>
      </w:r>
    </w:p>
    <w:p w14:paraId="61D7FF7E" w14:textId="6B794722" w:rsidR="00173B10" w:rsidRPr="00173B10" w:rsidRDefault="00173B10" w:rsidP="0006061A">
      <w:pPr>
        <w:numPr>
          <w:ilvl w:val="0"/>
          <w:numId w:val="51"/>
        </w:numPr>
        <w:spacing w:before="120" w:after="0" w:line="360" w:lineRule="auto"/>
        <w:jc w:val="both"/>
        <w:rPr>
          <w:rFonts w:cstheme="minorHAnsi"/>
          <w:lang w:val="en-GB"/>
        </w:rPr>
      </w:pPr>
      <w:r w:rsidRPr="00173B10">
        <w:rPr>
          <w:rFonts w:cstheme="minorHAnsi"/>
          <w:b/>
          <w:bCs/>
          <w:lang w:val="en-GB"/>
        </w:rPr>
        <w:t>Campanii de conștientizare și educație</w:t>
      </w:r>
      <w:r w:rsidRPr="00173B10">
        <w:rPr>
          <w:rFonts w:cstheme="minorHAnsi"/>
          <w:lang w:val="en-GB"/>
        </w:rPr>
        <w:t xml:space="preserve">: Promovarea diversității și incluziunii prin campanii de conștientizare poate contribui la reducerea stigmatizării. </w:t>
      </w:r>
      <w:r>
        <w:rPr>
          <w:rFonts w:cstheme="minorHAnsi"/>
          <w:lang w:val="en-GB"/>
        </w:rPr>
        <w:t>Sensibilizarea</w:t>
      </w:r>
      <w:r w:rsidRPr="00173B10">
        <w:rPr>
          <w:rFonts w:cstheme="minorHAnsi"/>
          <w:lang w:val="en-GB"/>
        </w:rPr>
        <w:t xml:space="preserve"> angajaților și angajatorilor</w:t>
      </w:r>
      <w:r>
        <w:rPr>
          <w:rFonts w:cstheme="minorHAnsi"/>
          <w:lang w:val="en-GB"/>
        </w:rPr>
        <w:t xml:space="preserve"> cu privire</w:t>
      </w:r>
      <w:r w:rsidRPr="00173B10">
        <w:rPr>
          <w:rFonts w:cstheme="minorHAnsi"/>
          <w:lang w:val="en-GB"/>
        </w:rPr>
        <w:t xml:space="preserve">  la nevoile și potențialul persoanelor dezavantajate este </w:t>
      </w:r>
      <w:r>
        <w:rPr>
          <w:rFonts w:cstheme="minorHAnsi"/>
          <w:lang w:val="en-GB"/>
        </w:rPr>
        <w:t>esențială</w:t>
      </w:r>
      <w:r w:rsidRPr="00173B10">
        <w:rPr>
          <w:rFonts w:cstheme="minorHAnsi"/>
          <w:lang w:val="en-GB"/>
        </w:rPr>
        <w:t>.</w:t>
      </w:r>
    </w:p>
    <w:p w14:paraId="367167C1" w14:textId="77777777" w:rsidR="00173B10" w:rsidRPr="00173B10" w:rsidRDefault="00173B10" w:rsidP="0006061A">
      <w:pPr>
        <w:numPr>
          <w:ilvl w:val="0"/>
          <w:numId w:val="51"/>
        </w:numPr>
        <w:spacing w:before="120" w:after="0" w:line="360" w:lineRule="auto"/>
        <w:jc w:val="both"/>
        <w:rPr>
          <w:rFonts w:cstheme="minorHAnsi"/>
          <w:lang w:val="en-GB"/>
        </w:rPr>
      </w:pPr>
      <w:r w:rsidRPr="00173B10">
        <w:rPr>
          <w:rFonts w:cstheme="minorHAnsi"/>
          <w:b/>
          <w:bCs/>
          <w:lang w:val="en-GB"/>
        </w:rPr>
        <w:t>Extinderea programelor de formare și certificare</w:t>
      </w:r>
      <w:r w:rsidRPr="00173B10">
        <w:rPr>
          <w:rFonts w:cstheme="minorHAnsi"/>
          <w:lang w:val="en-GB"/>
        </w:rPr>
        <w:t>: Guvernul și organizațiile relevante ar putea extinde programele de formare profesională și certificare pentru a acoperi o gamă mai largă de domenii și pentru a răspunde nevoilor pieței muncii locale.</w:t>
      </w:r>
    </w:p>
    <w:p w14:paraId="37A62EEE" w14:textId="6BB4580C" w:rsidR="00173B10" w:rsidRPr="00173B10" w:rsidRDefault="00173B10" w:rsidP="0006061A">
      <w:pPr>
        <w:numPr>
          <w:ilvl w:val="0"/>
          <w:numId w:val="51"/>
        </w:numPr>
        <w:spacing w:before="120" w:after="0" w:line="360" w:lineRule="auto"/>
        <w:jc w:val="both"/>
        <w:rPr>
          <w:rFonts w:cstheme="minorHAnsi"/>
          <w:lang w:val="en-GB"/>
        </w:rPr>
      </w:pPr>
      <w:r w:rsidRPr="00173B10">
        <w:rPr>
          <w:rFonts w:cstheme="minorHAnsi"/>
          <w:b/>
          <w:bCs/>
          <w:lang w:val="en-GB"/>
        </w:rPr>
        <w:t>Investiții în infrastructură și servicii de suport</w:t>
      </w:r>
      <w:r w:rsidRPr="00173B10">
        <w:rPr>
          <w:rFonts w:cstheme="minorHAnsi"/>
          <w:lang w:val="en-GB"/>
        </w:rPr>
        <w:t xml:space="preserve">: Îmbunătățirea accesului la transport public, creșe și alte servicii de îngrijire a copiilor poate  </w:t>
      </w:r>
      <w:r>
        <w:rPr>
          <w:rFonts w:cstheme="minorHAnsi"/>
          <w:lang w:val="en-GB"/>
        </w:rPr>
        <w:t>facil</w:t>
      </w:r>
      <w:r w:rsidR="0006061A">
        <w:rPr>
          <w:rFonts w:cstheme="minorHAnsi"/>
          <w:lang w:val="en-GB"/>
        </w:rPr>
        <w:t>ita</w:t>
      </w:r>
      <w:r>
        <w:rPr>
          <w:rFonts w:cstheme="minorHAnsi"/>
          <w:lang w:val="en-GB"/>
        </w:rPr>
        <w:t xml:space="preserve"> </w:t>
      </w:r>
      <w:r w:rsidR="0006061A">
        <w:rPr>
          <w:rFonts w:cstheme="minorHAnsi"/>
          <w:lang w:val="en-GB"/>
        </w:rPr>
        <w:t xml:space="preserve">posibilitatea </w:t>
      </w:r>
      <w:r w:rsidRPr="00173B10">
        <w:rPr>
          <w:rFonts w:cstheme="minorHAnsi"/>
          <w:lang w:val="en-GB"/>
        </w:rPr>
        <w:t>persoanel</w:t>
      </w:r>
      <w:r w:rsidR="0006061A">
        <w:rPr>
          <w:rFonts w:cstheme="minorHAnsi"/>
          <w:lang w:val="en-GB"/>
        </w:rPr>
        <w:t>or</w:t>
      </w:r>
      <w:r w:rsidRPr="00173B10">
        <w:rPr>
          <w:rFonts w:cstheme="minorHAnsi"/>
          <w:lang w:val="en-GB"/>
        </w:rPr>
        <w:t xml:space="preserve"> dezavantajate să se angajeze și să</w:t>
      </w:r>
      <w:r w:rsidR="0006061A">
        <w:rPr>
          <w:rFonts w:cstheme="minorHAnsi"/>
          <w:lang w:val="en-GB"/>
        </w:rPr>
        <w:t>-și mențină locul de muncă</w:t>
      </w:r>
      <w:r w:rsidRPr="00173B10">
        <w:rPr>
          <w:rFonts w:cstheme="minorHAnsi"/>
          <w:lang w:val="en-GB"/>
        </w:rPr>
        <w:t>.</w:t>
      </w:r>
    </w:p>
    <w:p w14:paraId="2BA4E17E" w14:textId="367342CB" w:rsidR="006A053E" w:rsidRPr="00C4274A" w:rsidRDefault="00173B10" w:rsidP="005D0E2A">
      <w:pPr>
        <w:numPr>
          <w:ilvl w:val="0"/>
          <w:numId w:val="51"/>
        </w:numPr>
        <w:spacing w:before="120" w:after="0" w:line="360" w:lineRule="auto"/>
        <w:jc w:val="both"/>
        <w:rPr>
          <w:rFonts w:cstheme="minorHAnsi"/>
          <w:lang w:val="en-GB"/>
        </w:rPr>
      </w:pPr>
      <w:r w:rsidRPr="00173B10">
        <w:rPr>
          <w:rFonts w:cstheme="minorHAnsi"/>
          <w:b/>
          <w:bCs/>
          <w:lang w:val="en-GB"/>
        </w:rPr>
        <w:t xml:space="preserve">Platforme și rețele </w:t>
      </w:r>
      <w:r w:rsidR="0006061A">
        <w:rPr>
          <w:rFonts w:cstheme="minorHAnsi"/>
          <w:b/>
          <w:bCs/>
          <w:lang w:val="en-GB"/>
        </w:rPr>
        <w:t xml:space="preserve">online </w:t>
      </w:r>
      <w:r w:rsidRPr="00173B10">
        <w:rPr>
          <w:rFonts w:cstheme="minorHAnsi"/>
          <w:b/>
          <w:bCs/>
          <w:lang w:val="en-GB"/>
        </w:rPr>
        <w:t>de colaborare</w:t>
      </w:r>
      <w:r w:rsidRPr="00173B10">
        <w:rPr>
          <w:rFonts w:cstheme="minorHAnsi"/>
          <w:lang w:val="en-GB"/>
        </w:rPr>
        <w:t xml:space="preserve">: Dezvoltarea unor mecanisme mai eficiente de colaborare între instituțiile guvernamentale, ONG-uri, sectorul privat și comunități </w:t>
      </w:r>
      <w:r w:rsidR="0006061A">
        <w:rPr>
          <w:rFonts w:cstheme="minorHAnsi"/>
          <w:lang w:val="en-GB"/>
        </w:rPr>
        <w:t>poate</w:t>
      </w:r>
      <w:r w:rsidRPr="00173B10">
        <w:rPr>
          <w:rFonts w:cstheme="minorHAnsi"/>
          <w:lang w:val="en-GB"/>
        </w:rPr>
        <w:t xml:space="preserve"> îmbunătăți coerența politicilor și implementarea lor la nivel local și regional.</w:t>
      </w:r>
    </w:p>
    <w:p w14:paraId="5FB2D525" w14:textId="77777777" w:rsidR="005D0E2A" w:rsidRPr="005D0E2A" w:rsidRDefault="005D0E2A" w:rsidP="005D0E2A">
      <w:pPr>
        <w:spacing w:before="120" w:after="0" w:line="360" w:lineRule="auto"/>
        <w:jc w:val="both"/>
        <w:rPr>
          <w:rFonts w:cstheme="minorHAnsi"/>
          <w:b/>
          <w:bCs/>
          <w:lang w:val="en-GB"/>
        </w:rPr>
      </w:pPr>
      <w:r w:rsidRPr="005D0E2A">
        <w:rPr>
          <w:rFonts w:cstheme="minorHAnsi"/>
          <w:b/>
          <w:bCs/>
          <w:lang w:val="en-GB"/>
        </w:rPr>
        <w:t>2. Franța</w:t>
      </w:r>
    </w:p>
    <w:p w14:paraId="6AA7D9C2" w14:textId="22D297A9" w:rsidR="005D0E2A" w:rsidRPr="005D0E2A" w:rsidRDefault="005D0E2A" w:rsidP="005D0E2A">
      <w:pPr>
        <w:spacing w:before="120" w:after="0" w:line="360" w:lineRule="auto"/>
        <w:jc w:val="both"/>
        <w:rPr>
          <w:rFonts w:cstheme="minorHAnsi"/>
          <w:lang w:val="en-GB"/>
        </w:rPr>
      </w:pPr>
      <w:r w:rsidRPr="005D0E2A">
        <w:rPr>
          <w:rFonts w:cstheme="minorHAnsi"/>
          <w:lang w:val="en-GB"/>
        </w:rPr>
        <w:t xml:space="preserve">Franța este una dintre țările cu politici puternice pentru integrarea persoanelor dezavantajate pe piața muncii. Printre măsurile </w:t>
      </w:r>
      <w:r w:rsidR="006A053E">
        <w:rPr>
          <w:rFonts w:cstheme="minorHAnsi"/>
          <w:lang w:val="en-GB"/>
        </w:rPr>
        <w:t xml:space="preserve">cele mai </w:t>
      </w:r>
      <w:r w:rsidRPr="005D0E2A">
        <w:rPr>
          <w:rFonts w:cstheme="minorHAnsi"/>
          <w:lang w:val="en-GB"/>
        </w:rPr>
        <w:t>importante se numără:</w:t>
      </w:r>
    </w:p>
    <w:p w14:paraId="4459E834" w14:textId="77777777" w:rsidR="005D0E2A" w:rsidRPr="005D0E2A" w:rsidRDefault="005D0E2A" w:rsidP="0006061A">
      <w:pPr>
        <w:numPr>
          <w:ilvl w:val="0"/>
          <w:numId w:val="52"/>
        </w:numPr>
        <w:spacing w:before="120" w:after="0" w:line="360" w:lineRule="auto"/>
        <w:jc w:val="both"/>
        <w:rPr>
          <w:rFonts w:cstheme="minorHAnsi"/>
          <w:lang w:val="en-GB"/>
        </w:rPr>
      </w:pPr>
      <w:r w:rsidRPr="005D0E2A">
        <w:rPr>
          <w:rFonts w:cstheme="minorHAnsi"/>
          <w:b/>
          <w:bCs/>
          <w:lang w:val="en-GB"/>
        </w:rPr>
        <w:t>Crédit d'impôt pour l'emploi des travailleurs handicapés</w:t>
      </w:r>
      <w:r w:rsidRPr="005D0E2A">
        <w:rPr>
          <w:rFonts w:cstheme="minorHAnsi"/>
          <w:lang w:val="en-GB"/>
        </w:rPr>
        <w:t>: Un credit fiscal pentru angajatorii care angajează persoane cu dizabilități. Acest mecanism fiscal este destul de eficient și susține integrarea acestora.</w:t>
      </w:r>
    </w:p>
    <w:p w14:paraId="482DEEFA" w14:textId="77777777" w:rsidR="005D0E2A" w:rsidRPr="005D0E2A" w:rsidRDefault="005D0E2A" w:rsidP="0006061A">
      <w:pPr>
        <w:numPr>
          <w:ilvl w:val="0"/>
          <w:numId w:val="52"/>
        </w:numPr>
        <w:spacing w:before="120" w:after="0" w:line="360" w:lineRule="auto"/>
        <w:jc w:val="both"/>
        <w:rPr>
          <w:rFonts w:cstheme="minorHAnsi"/>
          <w:lang w:val="en-GB"/>
        </w:rPr>
      </w:pPr>
      <w:r w:rsidRPr="005D0E2A">
        <w:rPr>
          <w:rFonts w:cstheme="minorHAnsi"/>
          <w:b/>
          <w:bCs/>
          <w:lang w:val="en-GB"/>
        </w:rPr>
        <w:lastRenderedPageBreak/>
        <w:t>Subvenții și stimulente financiare</w:t>
      </w:r>
      <w:r w:rsidRPr="005D0E2A">
        <w:rPr>
          <w:rFonts w:cstheme="minorHAnsi"/>
          <w:lang w:val="en-GB"/>
        </w:rPr>
        <w:t xml:space="preserve"> pentru angajarea șomerilor de lungă durată și a persoanelor din zonele defavorizate.</w:t>
      </w:r>
    </w:p>
    <w:p w14:paraId="2535CFBA" w14:textId="77777777" w:rsidR="005D0E2A" w:rsidRPr="005D0E2A" w:rsidRDefault="005D0E2A" w:rsidP="0006061A">
      <w:pPr>
        <w:numPr>
          <w:ilvl w:val="0"/>
          <w:numId w:val="52"/>
        </w:numPr>
        <w:spacing w:before="120" w:after="0" w:line="360" w:lineRule="auto"/>
        <w:jc w:val="both"/>
        <w:rPr>
          <w:rFonts w:cstheme="minorHAnsi"/>
          <w:lang w:val="en-GB"/>
        </w:rPr>
      </w:pPr>
      <w:r w:rsidRPr="005D0E2A">
        <w:rPr>
          <w:rFonts w:cstheme="minorHAnsi"/>
          <w:b/>
          <w:bCs/>
          <w:lang w:val="en-GB"/>
        </w:rPr>
        <w:t>Acțiuni de formare și integrare profesională</w:t>
      </w:r>
      <w:r w:rsidRPr="005D0E2A">
        <w:rPr>
          <w:rFonts w:cstheme="minorHAnsi"/>
          <w:lang w:val="en-GB"/>
        </w:rPr>
        <w:t xml:space="preserve">, inclusiv programe specifice pentru tineri din grupuri vulnerabile sau din zone defavorizate. Aceste programe sunt susținute prin </w:t>
      </w:r>
      <w:r w:rsidRPr="005D0E2A">
        <w:rPr>
          <w:rFonts w:cstheme="minorHAnsi"/>
          <w:b/>
          <w:bCs/>
          <w:lang w:val="en-GB"/>
        </w:rPr>
        <w:t>Oficiul Național pentru Ocuparea Forței de Muncă (Pôle Emploi)</w:t>
      </w:r>
      <w:r w:rsidRPr="005D0E2A">
        <w:rPr>
          <w:rFonts w:cstheme="minorHAnsi"/>
          <w:lang w:val="en-GB"/>
        </w:rPr>
        <w:t>.</w:t>
      </w:r>
    </w:p>
    <w:p w14:paraId="1C6EE36C" w14:textId="77777777" w:rsidR="005D0E2A" w:rsidRPr="005D0E2A" w:rsidRDefault="005D0E2A" w:rsidP="0006061A">
      <w:pPr>
        <w:numPr>
          <w:ilvl w:val="0"/>
          <w:numId w:val="52"/>
        </w:numPr>
        <w:spacing w:before="120" w:after="0" w:line="360" w:lineRule="auto"/>
        <w:jc w:val="both"/>
        <w:rPr>
          <w:rFonts w:cstheme="minorHAnsi"/>
          <w:lang w:val="en-GB"/>
        </w:rPr>
      </w:pPr>
      <w:r w:rsidRPr="005D0E2A">
        <w:rPr>
          <w:rFonts w:cstheme="minorHAnsi"/>
          <w:b/>
          <w:bCs/>
          <w:lang w:val="en-GB"/>
        </w:rPr>
        <w:t>Proiecte pentru integrarea tinerelor mame și a persoanelor fără studii superioare</w:t>
      </w:r>
      <w:r w:rsidRPr="005D0E2A">
        <w:rPr>
          <w:rFonts w:cstheme="minorHAnsi"/>
          <w:lang w:val="en-GB"/>
        </w:rPr>
        <w:t>, cu un accent pe sprijinul individualizat.</w:t>
      </w:r>
    </w:p>
    <w:p w14:paraId="65175955" w14:textId="77777777" w:rsidR="005D0E2A" w:rsidRPr="005D0E2A" w:rsidRDefault="005D0E2A" w:rsidP="0006061A">
      <w:pPr>
        <w:numPr>
          <w:ilvl w:val="0"/>
          <w:numId w:val="52"/>
        </w:numPr>
        <w:spacing w:before="120" w:after="0" w:line="360" w:lineRule="auto"/>
        <w:jc w:val="both"/>
        <w:rPr>
          <w:rFonts w:cstheme="minorHAnsi"/>
          <w:lang w:val="en-GB"/>
        </w:rPr>
      </w:pPr>
      <w:r w:rsidRPr="005D0E2A">
        <w:rPr>
          <w:rFonts w:cstheme="minorHAnsi"/>
          <w:b/>
          <w:bCs/>
          <w:lang w:val="en-GB"/>
        </w:rPr>
        <w:t>Legea pentru diversitate și integrare profesională</w:t>
      </w:r>
      <w:r w:rsidRPr="005D0E2A">
        <w:rPr>
          <w:rFonts w:cstheme="minorHAnsi"/>
          <w:lang w:val="en-GB"/>
        </w:rPr>
        <w:t>, care prevede măsuri pentru integrarea grupurilor vulnerabile pe piața muncii.</w:t>
      </w:r>
    </w:p>
    <w:p w14:paraId="4BCB0D6F" w14:textId="4CFA45B1" w:rsidR="005D0E2A" w:rsidRPr="005D0E2A" w:rsidRDefault="005D0E2A" w:rsidP="005D0E2A">
      <w:pPr>
        <w:spacing w:before="120" w:after="0" w:line="360" w:lineRule="auto"/>
        <w:jc w:val="both"/>
        <w:rPr>
          <w:rFonts w:cstheme="minorHAnsi"/>
          <w:lang w:val="en-GB"/>
        </w:rPr>
      </w:pPr>
      <w:r w:rsidRPr="005D0E2A">
        <w:rPr>
          <w:rFonts w:cstheme="minorHAnsi"/>
          <w:lang w:val="en-GB"/>
        </w:rPr>
        <w:t>Franța este un exemplu în ceea ce privește implementarea de politici active și măsuri de susținere pentru angajatorii care încep să angajeze persoane din grupuri vulnerabile, beneficiind de un sistem stabil de sprijin fiscal.</w:t>
      </w:r>
    </w:p>
    <w:p w14:paraId="47CF4952" w14:textId="77777777" w:rsidR="005D0E2A" w:rsidRPr="005D0E2A" w:rsidRDefault="005D0E2A" w:rsidP="005D0E2A">
      <w:pPr>
        <w:spacing w:before="120" w:after="0" w:line="360" w:lineRule="auto"/>
        <w:jc w:val="both"/>
        <w:rPr>
          <w:rFonts w:cstheme="minorHAnsi"/>
          <w:b/>
          <w:bCs/>
          <w:lang w:val="en-GB"/>
        </w:rPr>
      </w:pPr>
      <w:r w:rsidRPr="005D0E2A">
        <w:rPr>
          <w:rFonts w:cstheme="minorHAnsi"/>
          <w:b/>
          <w:bCs/>
          <w:lang w:val="en-GB"/>
        </w:rPr>
        <w:t>3. Germania</w:t>
      </w:r>
    </w:p>
    <w:p w14:paraId="763C9B23" w14:textId="77777777" w:rsidR="005D0E2A" w:rsidRPr="005D0E2A" w:rsidRDefault="005D0E2A" w:rsidP="005D0E2A">
      <w:pPr>
        <w:spacing w:before="120" w:after="0" w:line="360" w:lineRule="auto"/>
        <w:jc w:val="both"/>
        <w:rPr>
          <w:rFonts w:cstheme="minorHAnsi"/>
          <w:lang w:val="en-GB"/>
        </w:rPr>
      </w:pPr>
      <w:r w:rsidRPr="005D0E2A">
        <w:rPr>
          <w:rFonts w:cstheme="minorHAnsi"/>
          <w:lang w:val="en-GB"/>
        </w:rPr>
        <w:t>Germania are un sistem foarte bine structurat pentru integrarea persoanelor dezavantajate pe piața muncii, care include:</w:t>
      </w:r>
    </w:p>
    <w:p w14:paraId="0E189171" w14:textId="77777777" w:rsidR="005D0E2A" w:rsidRPr="005D0E2A" w:rsidRDefault="005D0E2A" w:rsidP="0006061A">
      <w:pPr>
        <w:numPr>
          <w:ilvl w:val="0"/>
          <w:numId w:val="53"/>
        </w:numPr>
        <w:spacing w:before="120" w:after="0" w:line="360" w:lineRule="auto"/>
        <w:jc w:val="both"/>
        <w:rPr>
          <w:rFonts w:cstheme="minorHAnsi"/>
          <w:lang w:val="en-GB"/>
        </w:rPr>
      </w:pPr>
      <w:r w:rsidRPr="005D0E2A">
        <w:rPr>
          <w:rFonts w:cstheme="minorHAnsi"/>
          <w:b/>
          <w:bCs/>
          <w:lang w:val="en-GB"/>
        </w:rPr>
        <w:t>Programul de integrare pentru persoanele cu dizabilități</w:t>
      </w:r>
      <w:r w:rsidRPr="005D0E2A">
        <w:rPr>
          <w:rFonts w:cstheme="minorHAnsi"/>
          <w:lang w:val="en-GB"/>
        </w:rPr>
        <w:t>: Persoanele cu dizabilități beneficiază de măsuri specifice, inclusiv locuri de muncă protejate și stimulente financiare pentru angajatori.</w:t>
      </w:r>
    </w:p>
    <w:p w14:paraId="5F905C1D" w14:textId="77777777" w:rsidR="005D0E2A" w:rsidRPr="005D0E2A" w:rsidRDefault="005D0E2A" w:rsidP="0006061A">
      <w:pPr>
        <w:numPr>
          <w:ilvl w:val="0"/>
          <w:numId w:val="53"/>
        </w:numPr>
        <w:spacing w:before="120" w:after="0" w:line="360" w:lineRule="auto"/>
        <w:jc w:val="both"/>
        <w:rPr>
          <w:rFonts w:cstheme="minorHAnsi"/>
          <w:lang w:val="en-GB"/>
        </w:rPr>
      </w:pPr>
      <w:r w:rsidRPr="005D0E2A">
        <w:rPr>
          <w:rFonts w:cstheme="minorHAnsi"/>
          <w:b/>
          <w:bCs/>
          <w:lang w:val="en-GB"/>
        </w:rPr>
        <w:t>Subvenții pentru angajarea șomerilor de lungă durată</w:t>
      </w:r>
      <w:r w:rsidRPr="005D0E2A">
        <w:rPr>
          <w:rFonts w:cstheme="minorHAnsi"/>
          <w:lang w:val="en-GB"/>
        </w:rPr>
        <w:t xml:space="preserve"> și a persoanelor provenind din grupuri defavorizate.</w:t>
      </w:r>
    </w:p>
    <w:p w14:paraId="402AA9FD" w14:textId="77777777" w:rsidR="005D0E2A" w:rsidRPr="005D0E2A" w:rsidRDefault="005D0E2A" w:rsidP="0006061A">
      <w:pPr>
        <w:numPr>
          <w:ilvl w:val="0"/>
          <w:numId w:val="53"/>
        </w:numPr>
        <w:spacing w:before="120" w:after="0" w:line="360" w:lineRule="auto"/>
        <w:jc w:val="both"/>
        <w:rPr>
          <w:rFonts w:cstheme="minorHAnsi"/>
          <w:lang w:val="en-GB"/>
        </w:rPr>
      </w:pPr>
      <w:r w:rsidRPr="005D0E2A">
        <w:rPr>
          <w:rFonts w:cstheme="minorHAnsi"/>
          <w:b/>
          <w:bCs/>
          <w:lang w:val="en-GB"/>
        </w:rPr>
        <w:t>Tabelul de înlocuire a locurilor de muncă</w:t>
      </w:r>
      <w:r w:rsidRPr="005D0E2A">
        <w:rPr>
          <w:rFonts w:cstheme="minorHAnsi"/>
          <w:lang w:val="en-GB"/>
        </w:rPr>
        <w:t xml:space="preserve"> pentru persoanele cu dizabilități, în cadrul căruia angajatorii primesc stimulente financiare dacă nu pot angaja persoane cu dizabilități.</w:t>
      </w:r>
    </w:p>
    <w:p w14:paraId="3FC82680" w14:textId="77777777" w:rsidR="005D0E2A" w:rsidRPr="005D0E2A" w:rsidRDefault="005D0E2A" w:rsidP="0006061A">
      <w:pPr>
        <w:numPr>
          <w:ilvl w:val="0"/>
          <w:numId w:val="53"/>
        </w:numPr>
        <w:spacing w:before="120" w:after="0" w:line="360" w:lineRule="auto"/>
        <w:jc w:val="both"/>
        <w:rPr>
          <w:rFonts w:cstheme="minorHAnsi"/>
          <w:lang w:val="en-GB"/>
        </w:rPr>
      </w:pPr>
      <w:r w:rsidRPr="005D0E2A">
        <w:rPr>
          <w:rFonts w:cstheme="minorHAnsi"/>
          <w:b/>
          <w:bCs/>
          <w:lang w:val="en-GB"/>
        </w:rPr>
        <w:t>Servicii de consiliere și formare continuă</w:t>
      </w:r>
      <w:r w:rsidRPr="005D0E2A">
        <w:rPr>
          <w:rFonts w:cstheme="minorHAnsi"/>
          <w:lang w:val="en-GB"/>
        </w:rPr>
        <w:t xml:space="preserve"> pentru a ajuta persoanele vulnerabile să își găsească un loc de muncă sau să se recalifice.</w:t>
      </w:r>
    </w:p>
    <w:p w14:paraId="7C79E34C" w14:textId="77777777" w:rsidR="005D0E2A" w:rsidRPr="005D0E2A" w:rsidRDefault="005D0E2A" w:rsidP="0006061A">
      <w:pPr>
        <w:numPr>
          <w:ilvl w:val="0"/>
          <w:numId w:val="53"/>
        </w:numPr>
        <w:spacing w:before="120" w:after="0" w:line="360" w:lineRule="auto"/>
        <w:jc w:val="both"/>
        <w:rPr>
          <w:rFonts w:cstheme="minorHAnsi"/>
          <w:lang w:val="en-GB"/>
        </w:rPr>
      </w:pPr>
      <w:r w:rsidRPr="005D0E2A">
        <w:rPr>
          <w:rFonts w:cstheme="minorHAnsi"/>
          <w:b/>
          <w:bCs/>
          <w:lang w:val="en-GB"/>
        </w:rPr>
        <w:t>Măsuri de sprijin pentru integrarea tinerilor și a persoanelor aflate în risc de marginalizare</w:t>
      </w:r>
      <w:r w:rsidRPr="005D0E2A">
        <w:rPr>
          <w:rFonts w:cstheme="minorHAnsi"/>
          <w:lang w:val="en-GB"/>
        </w:rPr>
        <w:t xml:space="preserve"> (de exemplu, tineri migranți sau șomeri de lungă durată).</w:t>
      </w:r>
    </w:p>
    <w:p w14:paraId="6B11E2E7" w14:textId="77777777" w:rsidR="005D0E2A" w:rsidRPr="005D0E2A" w:rsidRDefault="005D0E2A" w:rsidP="0006061A">
      <w:pPr>
        <w:numPr>
          <w:ilvl w:val="0"/>
          <w:numId w:val="53"/>
        </w:numPr>
        <w:spacing w:before="120" w:after="0" w:line="360" w:lineRule="auto"/>
        <w:jc w:val="both"/>
        <w:rPr>
          <w:rFonts w:cstheme="minorHAnsi"/>
          <w:lang w:val="en-GB"/>
        </w:rPr>
      </w:pPr>
      <w:r w:rsidRPr="005D0E2A">
        <w:rPr>
          <w:rFonts w:cstheme="minorHAnsi"/>
          <w:b/>
          <w:bCs/>
          <w:lang w:val="en-GB"/>
        </w:rPr>
        <w:t>Politica de incluziune a refugiaților</w:t>
      </w:r>
      <w:r w:rsidRPr="005D0E2A">
        <w:rPr>
          <w:rFonts w:cstheme="minorHAnsi"/>
          <w:lang w:val="en-GB"/>
        </w:rPr>
        <w:t>: În contextul crizei refugiaților, Germania a implementat măsuri pentru integrarea acestora pe piața muncii, prin cursuri de limbă și formare profesională.</w:t>
      </w:r>
    </w:p>
    <w:p w14:paraId="283AA158" w14:textId="77777777" w:rsidR="005D0E2A" w:rsidRPr="005D0E2A" w:rsidRDefault="005D0E2A" w:rsidP="005D0E2A">
      <w:pPr>
        <w:spacing w:before="120" w:after="0" w:line="360" w:lineRule="auto"/>
        <w:jc w:val="both"/>
        <w:rPr>
          <w:rFonts w:cstheme="minorHAnsi"/>
          <w:lang w:val="en-GB"/>
        </w:rPr>
      </w:pPr>
      <w:r w:rsidRPr="005D0E2A">
        <w:rPr>
          <w:rFonts w:cstheme="minorHAnsi"/>
          <w:lang w:val="en-GB"/>
        </w:rPr>
        <w:lastRenderedPageBreak/>
        <w:t>Germania pune un accent puternic pe învățământul dual și pe formarea profesională ca instrumente cheie pentru integrarea persoanelor dezavantajate.</w:t>
      </w:r>
    </w:p>
    <w:p w14:paraId="6C4C7652" w14:textId="77777777" w:rsidR="005D0E2A" w:rsidRPr="005D0E2A" w:rsidRDefault="005D0E2A" w:rsidP="005D0E2A">
      <w:pPr>
        <w:spacing w:before="120" w:after="0" w:line="360" w:lineRule="auto"/>
        <w:jc w:val="both"/>
        <w:rPr>
          <w:rFonts w:cstheme="minorHAnsi"/>
          <w:b/>
          <w:bCs/>
          <w:lang w:val="en-GB"/>
        </w:rPr>
      </w:pPr>
      <w:r w:rsidRPr="005D0E2A">
        <w:rPr>
          <w:rFonts w:cstheme="minorHAnsi"/>
          <w:b/>
          <w:bCs/>
          <w:lang w:val="en-GB"/>
        </w:rPr>
        <w:t>4. Danemarca</w:t>
      </w:r>
    </w:p>
    <w:p w14:paraId="4C642153" w14:textId="77777777" w:rsidR="005D0E2A" w:rsidRPr="005D0E2A" w:rsidRDefault="005D0E2A" w:rsidP="005D0E2A">
      <w:pPr>
        <w:spacing w:before="120" w:after="0" w:line="360" w:lineRule="auto"/>
        <w:jc w:val="both"/>
        <w:rPr>
          <w:rFonts w:cstheme="minorHAnsi"/>
          <w:lang w:val="en-GB"/>
        </w:rPr>
      </w:pPr>
      <w:r w:rsidRPr="005D0E2A">
        <w:rPr>
          <w:rFonts w:cstheme="minorHAnsi"/>
          <w:lang w:val="en-GB"/>
        </w:rPr>
        <w:t xml:space="preserve">Danemarca este cunoscută pentru politicile sale eficiente de integrare a persoanelor dezavantajate pe piața muncii, bazate pe principiul </w:t>
      </w:r>
      <w:r w:rsidRPr="005D0E2A">
        <w:rPr>
          <w:rFonts w:cstheme="minorHAnsi"/>
          <w:b/>
          <w:bCs/>
          <w:lang w:val="en-GB"/>
        </w:rPr>
        <w:t>flexicurității</w:t>
      </w:r>
      <w:r w:rsidRPr="005D0E2A">
        <w:rPr>
          <w:rFonts w:cstheme="minorHAnsi"/>
          <w:lang w:val="en-GB"/>
        </w:rPr>
        <w:t xml:space="preserve"> (flexicurity), care combină flexibilitatea pieței muncii cu securitatea socială:</w:t>
      </w:r>
    </w:p>
    <w:p w14:paraId="385F389B" w14:textId="77777777" w:rsidR="005D0E2A" w:rsidRPr="005D0E2A" w:rsidRDefault="005D0E2A" w:rsidP="0006061A">
      <w:pPr>
        <w:numPr>
          <w:ilvl w:val="0"/>
          <w:numId w:val="54"/>
        </w:numPr>
        <w:spacing w:before="120" w:after="0" w:line="360" w:lineRule="auto"/>
        <w:jc w:val="both"/>
        <w:rPr>
          <w:rFonts w:cstheme="minorHAnsi"/>
          <w:lang w:val="en-GB"/>
        </w:rPr>
      </w:pPr>
      <w:r w:rsidRPr="005D0E2A">
        <w:rPr>
          <w:rFonts w:cstheme="minorHAnsi"/>
          <w:b/>
          <w:bCs/>
          <w:lang w:val="en-GB"/>
        </w:rPr>
        <w:t>Măsuri active de ocupare</w:t>
      </w:r>
      <w:r w:rsidRPr="005D0E2A">
        <w:rPr>
          <w:rFonts w:cstheme="minorHAnsi"/>
          <w:lang w:val="en-GB"/>
        </w:rPr>
        <w:t xml:space="preserve"> prin </w:t>
      </w:r>
      <w:r w:rsidRPr="005D0E2A">
        <w:rPr>
          <w:rFonts w:cstheme="minorHAnsi"/>
          <w:b/>
          <w:bCs/>
          <w:lang w:val="en-GB"/>
        </w:rPr>
        <w:t>Jobcenter</w:t>
      </w:r>
      <w:r w:rsidRPr="005D0E2A">
        <w:rPr>
          <w:rFonts w:cstheme="minorHAnsi"/>
          <w:lang w:val="en-GB"/>
        </w:rPr>
        <w:t>, care includ consiliere personalizată, formare profesională și programe de reconversie pentru persoanele șomere sau vulnerabile.</w:t>
      </w:r>
    </w:p>
    <w:p w14:paraId="380B68C7" w14:textId="77777777" w:rsidR="005D0E2A" w:rsidRPr="005D0E2A" w:rsidRDefault="005D0E2A" w:rsidP="0006061A">
      <w:pPr>
        <w:numPr>
          <w:ilvl w:val="0"/>
          <w:numId w:val="54"/>
        </w:numPr>
        <w:spacing w:before="120" w:after="0" w:line="360" w:lineRule="auto"/>
        <w:jc w:val="both"/>
        <w:rPr>
          <w:rFonts w:cstheme="minorHAnsi"/>
          <w:lang w:val="en-GB"/>
        </w:rPr>
      </w:pPr>
      <w:r w:rsidRPr="005D0E2A">
        <w:rPr>
          <w:rFonts w:cstheme="minorHAnsi"/>
          <w:b/>
          <w:bCs/>
          <w:lang w:val="en-GB"/>
        </w:rPr>
        <w:t>Sprijin pentru tinerii NEET și șomerii de lungă durată</w:t>
      </w:r>
      <w:r w:rsidRPr="005D0E2A">
        <w:rPr>
          <w:rFonts w:cstheme="minorHAnsi"/>
          <w:lang w:val="en-GB"/>
        </w:rPr>
        <w:t>: Danemarca pune un accent deosebit pe integrarea tinerilor pe piața muncii, oferind stimulente financiare pentru angajatori și măsuri de formare profesională.</w:t>
      </w:r>
    </w:p>
    <w:p w14:paraId="28BF654C" w14:textId="77777777" w:rsidR="005D0E2A" w:rsidRPr="005D0E2A" w:rsidRDefault="005D0E2A" w:rsidP="0006061A">
      <w:pPr>
        <w:numPr>
          <w:ilvl w:val="0"/>
          <w:numId w:val="54"/>
        </w:numPr>
        <w:spacing w:before="120" w:after="0" w:line="360" w:lineRule="auto"/>
        <w:jc w:val="both"/>
        <w:rPr>
          <w:rFonts w:cstheme="minorHAnsi"/>
          <w:lang w:val="en-GB"/>
        </w:rPr>
      </w:pPr>
      <w:r w:rsidRPr="005D0E2A">
        <w:rPr>
          <w:rFonts w:cstheme="minorHAnsi"/>
          <w:b/>
          <w:bCs/>
          <w:lang w:val="en-GB"/>
        </w:rPr>
        <w:t>Subvenții pentru angajarea persoanelor cu dizabilități</w:t>
      </w:r>
      <w:r w:rsidRPr="005D0E2A">
        <w:rPr>
          <w:rFonts w:cstheme="minorHAnsi"/>
          <w:lang w:val="en-GB"/>
        </w:rPr>
        <w:t>: Angajatorii pot beneficia de stimulente financiare pentru a angaja persoane cu dizabilități și pentru a le adapta locurile de muncă.</w:t>
      </w:r>
    </w:p>
    <w:p w14:paraId="519DE7A1" w14:textId="77777777" w:rsidR="005D0E2A" w:rsidRPr="005D0E2A" w:rsidRDefault="005D0E2A" w:rsidP="0006061A">
      <w:pPr>
        <w:numPr>
          <w:ilvl w:val="0"/>
          <w:numId w:val="54"/>
        </w:numPr>
        <w:spacing w:before="120" w:after="0" w:line="360" w:lineRule="auto"/>
        <w:jc w:val="both"/>
        <w:rPr>
          <w:rFonts w:cstheme="minorHAnsi"/>
          <w:lang w:val="en-GB"/>
        </w:rPr>
      </w:pPr>
      <w:r w:rsidRPr="005D0E2A">
        <w:rPr>
          <w:rFonts w:cstheme="minorHAnsi"/>
          <w:b/>
          <w:bCs/>
          <w:lang w:val="en-GB"/>
        </w:rPr>
        <w:t>Politici de formare continuă</w:t>
      </w:r>
      <w:r w:rsidRPr="005D0E2A">
        <w:rPr>
          <w:rFonts w:cstheme="minorHAnsi"/>
          <w:lang w:val="en-GB"/>
        </w:rPr>
        <w:t>: Măsurile pentru integrarea persoanelor dezavantajate sunt susținute printr-o rețea extinsă de parteneriate public-private, care implică atât statul, cât și angajatorii.</w:t>
      </w:r>
    </w:p>
    <w:p w14:paraId="31CBEF38" w14:textId="77777777" w:rsidR="005D0E2A" w:rsidRPr="005D0E2A" w:rsidRDefault="005D0E2A" w:rsidP="0006061A">
      <w:pPr>
        <w:numPr>
          <w:ilvl w:val="0"/>
          <w:numId w:val="54"/>
        </w:numPr>
        <w:spacing w:before="120" w:after="0" w:line="360" w:lineRule="auto"/>
        <w:jc w:val="both"/>
        <w:rPr>
          <w:rFonts w:cstheme="minorHAnsi"/>
          <w:lang w:val="en-GB"/>
        </w:rPr>
      </w:pPr>
      <w:r w:rsidRPr="005D0E2A">
        <w:rPr>
          <w:rFonts w:cstheme="minorHAnsi"/>
          <w:b/>
          <w:bCs/>
          <w:lang w:val="en-GB"/>
        </w:rPr>
        <w:t>Sprijinul pentru refugiați și migranți</w:t>
      </w:r>
      <w:r w:rsidRPr="005D0E2A">
        <w:rPr>
          <w:rFonts w:cstheme="minorHAnsi"/>
          <w:lang w:val="en-GB"/>
        </w:rPr>
        <w:t>: Danemarca a implementat măsuri de integrare pentru refugiați, inclusiv cursuri de limbă și formare profesională, pentru a îi ajuta să își găsească un loc de muncă.</w:t>
      </w:r>
    </w:p>
    <w:p w14:paraId="77A5081D" w14:textId="77777777" w:rsidR="005D0E2A" w:rsidRPr="005D0E2A" w:rsidRDefault="005D0E2A" w:rsidP="005D0E2A">
      <w:pPr>
        <w:spacing w:before="120" w:after="0" w:line="360" w:lineRule="auto"/>
        <w:jc w:val="both"/>
        <w:rPr>
          <w:rFonts w:cstheme="minorHAnsi"/>
          <w:lang w:val="en-GB"/>
        </w:rPr>
      </w:pPr>
      <w:r w:rsidRPr="005D0E2A">
        <w:rPr>
          <w:rFonts w:cstheme="minorHAnsi"/>
          <w:lang w:val="en-GB"/>
        </w:rPr>
        <w:t>Danemarca se remarcă printr-un model de integrare bazat pe sprijinul activ și continuu al statului pentru persoanele aflate în situații vulnerabile, cu un accent puternic pe formarea profesională și adaptabilitatea pieței muncii.</w:t>
      </w:r>
    </w:p>
    <w:p w14:paraId="11353966" w14:textId="77777777" w:rsidR="005D0E2A" w:rsidRPr="005D0E2A" w:rsidRDefault="005D0E2A" w:rsidP="005D0E2A">
      <w:pPr>
        <w:spacing w:before="120" w:after="0" w:line="360" w:lineRule="auto"/>
        <w:jc w:val="both"/>
        <w:rPr>
          <w:rFonts w:cstheme="minorHAnsi"/>
          <w:b/>
          <w:bCs/>
          <w:lang w:val="en-GB"/>
        </w:rPr>
      </w:pPr>
      <w:r w:rsidRPr="005D0E2A">
        <w:rPr>
          <w:rFonts w:cstheme="minorHAnsi"/>
          <w:b/>
          <w:bCs/>
          <w:lang w:val="en-GB"/>
        </w:rPr>
        <w:t>Comparativ</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38"/>
        <w:gridCol w:w="1685"/>
        <w:gridCol w:w="1614"/>
        <w:gridCol w:w="1663"/>
        <w:gridCol w:w="1509"/>
        <w:gridCol w:w="1451"/>
      </w:tblGrid>
      <w:tr w:rsidR="005D0E2A" w:rsidRPr="005D0E2A" w14:paraId="1829ADCE" w14:textId="77777777" w:rsidTr="006A053E">
        <w:trPr>
          <w:tblHeader/>
          <w:tblCellSpacing w:w="15" w:type="dxa"/>
        </w:trPr>
        <w:tc>
          <w:tcPr>
            <w:tcW w:w="0" w:type="auto"/>
            <w:vAlign w:val="center"/>
            <w:hideMark/>
          </w:tcPr>
          <w:p w14:paraId="41E7B115" w14:textId="77777777" w:rsidR="005D0E2A" w:rsidRPr="005D0E2A" w:rsidRDefault="005D0E2A" w:rsidP="005D0E2A">
            <w:pPr>
              <w:spacing w:before="120" w:after="0" w:line="360" w:lineRule="auto"/>
              <w:jc w:val="both"/>
              <w:rPr>
                <w:rFonts w:cstheme="minorHAnsi"/>
                <w:b/>
                <w:bCs/>
                <w:lang w:val="en-GB"/>
              </w:rPr>
            </w:pPr>
            <w:r w:rsidRPr="005D0E2A">
              <w:rPr>
                <w:rFonts w:cstheme="minorHAnsi"/>
                <w:b/>
                <w:bCs/>
                <w:lang w:val="en-GB"/>
              </w:rPr>
              <w:t>Țara</w:t>
            </w:r>
          </w:p>
        </w:tc>
        <w:tc>
          <w:tcPr>
            <w:tcW w:w="0" w:type="auto"/>
            <w:vAlign w:val="center"/>
            <w:hideMark/>
          </w:tcPr>
          <w:p w14:paraId="708140DA" w14:textId="77777777" w:rsidR="005D0E2A" w:rsidRPr="005D0E2A" w:rsidRDefault="005D0E2A" w:rsidP="005D0E2A">
            <w:pPr>
              <w:spacing w:before="120" w:after="0" w:line="360" w:lineRule="auto"/>
              <w:jc w:val="both"/>
              <w:rPr>
                <w:rFonts w:cstheme="minorHAnsi"/>
                <w:b/>
                <w:bCs/>
                <w:lang w:val="en-GB"/>
              </w:rPr>
            </w:pPr>
            <w:r w:rsidRPr="005D0E2A">
              <w:rPr>
                <w:rFonts w:cstheme="minorHAnsi"/>
                <w:b/>
                <w:bCs/>
                <w:lang w:val="en-GB"/>
              </w:rPr>
              <w:t>Măsuri cheie</w:t>
            </w:r>
          </w:p>
        </w:tc>
        <w:tc>
          <w:tcPr>
            <w:tcW w:w="0" w:type="auto"/>
            <w:vAlign w:val="center"/>
            <w:hideMark/>
          </w:tcPr>
          <w:p w14:paraId="29A1DD50" w14:textId="77777777" w:rsidR="005D0E2A" w:rsidRPr="005D0E2A" w:rsidRDefault="005D0E2A" w:rsidP="005D0E2A">
            <w:pPr>
              <w:spacing w:before="120" w:after="0" w:line="360" w:lineRule="auto"/>
              <w:jc w:val="both"/>
              <w:rPr>
                <w:rFonts w:cstheme="minorHAnsi"/>
                <w:b/>
                <w:bCs/>
                <w:lang w:val="en-GB"/>
              </w:rPr>
            </w:pPr>
            <w:r w:rsidRPr="005D0E2A">
              <w:rPr>
                <w:rFonts w:cstheme="minorHAnsi"/>
                <w:b/>
                <w:bCs/>
                <w:lang w:val="en-GB"/>
              </w:rPr>
              <w:t>Grupuri vizate</w:t>
            </w:r>
          </w:p>
        </w:tc>
        <w:tc>
          <w:tcPr>
            <w:tcW w:w="0" w:type="auto"/>
            <w:vAlign w:val="center"/>
            <w:hideMark/>
          </w:tcPr>
          <w:p w14:paraId="41B4121D" w14:textId="77777777" w:rsidR="005D0E2A" w:rsidRPr="005D0E2A" w:rsidRDefault="005D0E2A" w:rsidP="005D0E2A">
            <w:pPr>
              <w:spacing w:before="120" w:after="0" w:line="360" w:lineRule="auto"/>
              <w:jc w:val="both"/>
              <w:rPr>
                <w:rFonts w:cstheme="minorHAnsi"/>
                <w:b/>
                <w:bCs/>
                <w:lang w:val="en-GB"/>
              </w:rPr>
            </w:pPr>
            <w:r w:rsidRPr="005D0E2A">
              <w:rPr>
                <w:rFonts w:cstheme="minorHAnsi"/>
                <w:b/>
                <w:bCs/>
                <w:lang w:val="en-GB"/>
              </w:rPr>
              <w:t>Sprijin financiar</w:t>
            </w:r>
          </w:p>
        </w:tc>
        <w:tc>
          <w:tcPr>
            <w:tcW w:w="0" w:type="auto"/>
            <w:vAlign w:val="center"/>
            <w:hideMark/>
          </w:tcPr>
          <w:p w14:paraId="3427CA63" w14:textId="77777777" w:rsidR="005D0E2A" w:rsidRPr="005D0E2A" w:rsidRDefault="005D0E2A" w:rsidP="005D0E2A">
            <w:pPr>
              <w:spacing w:before="120" w:after="0" w:line="360" w:lineRule="auto"/>
              <w:jc w:val="both"/>
              <w:rPr>
                <w:rFonts w:cstheme="minorHAnsi"/>
                <w:b/>
                <w:bCs/>
                <w:lang w:val="en-GB"/>
              </w:rPr>
            </w:pPr>
            <w:r w:rsidRPr="005D0E2A">
              <w:rPr>
                <w:rFonts w:cstheme="minorHAnsi"/>
                <w:b/>
                <w:bCs/>
                <w:lang w:val="en-GB"/>
              </w:rPr>
              <w:t>Program de formare</w:t>
            </w:r>
          </w:p>
        </w:tc>
        <w:tc>
          <w:tcPr>
            <w:tcW w:w="0" w:type="auto"/>
            <w:vAlign w:val="center"/>
            <w:hideMark/>
          </w:tcPr>
          <w:p w14:paraId="758C085C" w14:textId="77777777" w:rsidR="005D0E2A" w:rsidRPr="005D0E2A" w:rsidRDefault="005D0E2A" w:rsidP="005D0E2A">
            <w:pPr>
              <w:spacing w:before="120" w:after="0" w:line="360" w:lineRule="auto"/>
              <w:jc w:val="both"/>
              <w:rPr>
                <w:rFonts w:cstheme="minorHAnsi"/>
                <w:b/>
                <w:bCs/>
                <w:lang w:val="en-GB"/>
              </w:rPr>
            </w:pPr>
            <w:r w:rsidRPr="005D0E2A">
              <w:rPr>
                <w:rFonts w:cstheme="minorHAnsi"/>
                <w:b/>
                <w:bCs/>
                <w:lang w:val="en-GB"/>
              </w:rPr>
              <w:t>Integrarea refugiaților</w:t>
            </w:r>
          </w:p>
        </w:tc>
      </w:tr>
      <w:tr w:rsidR="005D0E2A" w:rsidRPr="005D0E2A" w14:paraId="2F0CAC74" w14:textId="77777777" w:rsidTr="006A053E">
        <w:trPr>
          <w:tblCellSpacing w:w="15" w:type="dxa"/>
        </w:trPr>
        <w:tc>
          <w:tcPr>
            <w:tcW w:w="0" w:type="auto"/>
            <w:vAlign w:val="center"/>
            <w:hideMark/>
          </w:tcPr>
          <w:p w14:paraId="11FD7F65" w14:textId="77777777" w:rsidR="005D0E2A" w:rsidRPr="005D0E2A" w:rsidRDefault="005D0E2A" w:rsidP="0006061A">
            <w:pPr>
              <w:spacing w:before="120" w:after="0" w:line="276" w:lineRule="auto"/>
              <w:jc w:val="both"/>
              <w:rPr>
                <w:rFonts w:cstheme="minorHAnsi"/>
                <w:lang w:val="en-GB"/>
              </w:rPr>
            </w:pPr>
            <w:r w:rsidRPr="005D0E2A">
              <w:rPr>
                <w:rFonts w:cstheme="minorHAnsi"/>
                <w:b/>
                <w:bCs/>
                <w:lang w:val="en-GB"/>
              </w:rPr>
              <w:t>România</w:t>
            </w:r>
          </w:p>
        </w:tc>
        <w:tc>
          <w:tcPr>
            <w:tcW w:w="0" w:type="auto"/>
            <w:vAlign w:val="center"/>
            <w:hideMark/>
          </w:tcPr>
          <w:p w14:paraId="450D0B13" w14:textId="77777777" w:rsidR="005D0E2A" w:rsidRPr="005D0E2A" w:rsidRDefault="005D0E2A" w:rsidP="0006061A">
            <w:pPr>
              <w:spacing w:before="120" w:after="0" w:line="276" w:lineRule="auto"/>
              <w:jc w:val="center"/>
              <w:rPr>
                <w:rFonts w:cstheme="minorHAnsi"/>
                <w:lang w:val="en-GB"/>
              </w:rPr>
            </w:pPr>
            <w:r w:rsidRPr="005D0E2A">
              <w:rPr>
                <w:rFonts w:cstheme="minorHAnsi"/>
                <w:lang w:val="en-GB"/>
              </w:rPr>
              <w:t>Subvenții pentru angajatori, măsuri de recalificare</w:t>
            </w:r>
          </w:p>
        </w:tc>
        <w:tc>
          <w:tcPr>
            <w:tcW w:w="0" w:type="auto"/>
            <w:vAlign w:val="center"/>
            <w:hideMark/>
          </w:tcPr>
          <w:p w14:paraId="206EB963" w14:textId="77777777" w:rsidR="005D0E2A" w:rsidRPr="005D0E2A" w:rsidRDefault="005D0E2A" w:rsidP="0006061A">
            <w:pPr>
              <w:spacing w:before="120" w:after="0" w:line="276" w:lineRule="auto"/>
              <w:jc w:val="center"/>
              <w:rPr>
                <w:rFonts w:cstheme="minorHAnsi"/>
                <w:lang w:val="en-GB"/>
              </w:rPr>
            </w:pPr>
            <w:r w:rsidRPr="005D0E2A">
              <w:rPr>
                <w:rFonts w:cstheme="minorHAnsi"/>
                <w:lang w:val="en-GB"/>
              </w:rPr>
              <w:t>Persoane cu dizabilități, șomeri de lungă durată, tineri NEET</w:t>
            </w:r>
          </w:p>
        </w:tc>
        <w:tc>
          <w:tcPr>
            <w:tcW w:w="0" w:type="auto"/>
            <w:vAlign w:val="center"/>
            <w:hideMark/>
          </w:tcPr>
          <w:p w14:paraId="52CACA81" w14:textId="77777777" w:rsidR="005D0E2A" w:rsidRPr="005D0E2A" w:rsidRDefault="005D0E2A" w:rsidP="0006061A">
            <w:pPr>
              <w:spacing w:before="120" w:after="0" w:line="276" w:lineRule="auto"/>
              <w:jc w:val="center"/>
              <w:rPr>
                <w:rFonts w:cstheme="minorHAnsi"/>
                <w:lang w:val="en-GB"/>
              </w:rPr>
            </w:pPr>
            <w:r w:rsidRPr="005D0E2A">
              <w:rPr>
                <w:rFonts w:cstheme="minorHAnsi"/>
                <w:lang w:val="en-GB"/>
              </w:rPr>
              <w:t>Fonduri europene, stimulente fiscale</w:t>
            </w:r>
          </w:p>
        </w:tc>
        <w:tc>
          <w:tcPr>
            <w:tcW w:w="0" w:type="auto"/>
            <w:vAlign w:val="center"/>
            <w:hideMark/>
          </w:tcPr>
          <w:p w14:paraId="48C791E7" w14:textId="77777777" w:rsidR="005D0E2A" w:rsidRPr="005D0E2A" w:rsidRDefault="005D0E2A" w:rsidP="0006061A">
            <w:pPr>
              <w:spacing w:before="120" w:after="0" w:line="276" w:lineRule="auto"/>
              <w:jc w:val="center"/>
              <w:rPr>
                <w:rFonts w:cstheme="minorHAnsi"/>
                <w:lang w:val="en-GB"/>
              </w:rPr>
            </w:pPr>
            <w:r w:rsidRPr="005D0E2A">
              <w:rPr>
                <w:rFonts w:cstheme="minorHAnsi"/>
                <w:lang w:val="en-GB"/>
              </w:rPr>
              <w:t>Cursuri de formare, stagii</w:t>
            </w:r>
          </w:p>
        </w:tc>
        <w:tc>
          <w:tcPr>
            <w:tcW w:w="0" w:type="auto"/>
            <w:vAlign w:val="center"/>
            <w:hideMark/>
          </w:tcPr>
          <w:p w14:paraId="2B3518FF" w14:textId="77777777" w:rsidR="005D0E2A" w:rsidRPr="005D0E2A" w:rsidRDefault="005D0E2A" w:rsidP="0006061A">
            <w:pPr>
              <w:spacing w:before="120" w:after="0" w:line="276" w:lineRule="auto"/>
              <w:jc w:val="center"/>
              <w:rPr>
                <w:rFonts w:cstheme="minorHAnsi"/>
                <w:lang w:val="en-GB"/>
              </w:rPr>
            </w:pPr>
            <w:r w:rsidRPr="005D0E2A">
              <w:rPr>
                <w:rFonts w:cstheme="minorHAnsi"/>
                <w:lang w:val="en-GB"/>
              </w:rPr>
              <w:t>Sprijin limitat, în mare parte prin proiecte europene</w:t>
            </w:r>
          </w:p>
        </w:tc>
      </w:tr>
      <w:tr w:rsidR="005D0E2A" w:rsidRPr="005D0E2A" w14:paraId="45F3A42C" w14:textId="77777777" w:rsidTr="006A053E">
        <w:trPr>
          <w:tblCellSpacing w:w="15" w:type="dxa"/>
        </w:trPr>
        <w:tc>
          <w:tcPr>
            <w:tcW w:w="0" w:type="auto"/>
            <w:vAlign w:val="center"/>
            <w:hideMark/>
          </w:tcPr>
          <w:p w14:paraId="1440B25D" w14:textId="77777777" w:rsidR="005D0E2A" w:rsidRPr="005D0E2A" w:rsidRDefault="005D0E2A" w:rsidP="0006061A">
            <w:pPr>
              <w:spacing w:before="120" w:after="0" w:line="240" w:lineRule="auto"/>
              <w:jc w:val="both"/>
              <w:rPr>
                <w:rFonts w:cstheme="minorHAnsi"/>
                <w:lang w:val="en-GB"/>
              </w:rPr>
            </w:pPr>
            <w:r w:rsidRPr="005D0E2A">
              <w:rPr>
                <w:rFonts w:cstheme="minorHAnsi"/>
                <w:b/>
                <w:bCs/>
                <w:lang w:val="en-GB"/>
              </w:rPr>
              <w:lastRenderedPageBreak/>
              <w:t>Franța</w:t>
            </w:r>
          </w:p>
        </w:tc>
        <w:tc>
          <w:tcPr>
            <w:tcW w:w="0" w:type="auto"/>
            <w:vAlign w:val="center"/>
            <w:hideMark/>
          </w:tcPr>
          <w:p w14:paraId="1107538F" w14:textId="77777777" w:rsidR="005D0E2A" w:rsidRPr="005D0E2A" w:rsidRDefault="005D0E2A" w:rsidP="0006061A">
            <w:pPr>
              <w:spacing w:before="120" w:after="0" w:line="240" w:lineRule="auto"/>
              <w:jc w:val="center"/>
              <w:rPr>
                <w:rFonts w:cstheme="minorHAnsi"/>
                <w:lang w:val="en-GB"/>
              </w:rPr>
            </w:pPr>
            <w:r w:rsidRPr="005D0E2A">
              <w:rPr>
                <w:rFonts w:cstheme="minorHAnsi"/>
                <w:lang w:val="en-GB"/>
              </w:rPr>
              <w:t>Credit fiscal, subvenții, măsuri pentru tineri</w:t>
            </w:r>
          </w:p>
        </w:tc>
        <w:tc>
          <w:tcPr>
            <w:tcW w:w="0" w:type="auto"/>
            <w:vAlign w:val="center"/>
            <w:hideMark/>
          </w:tcPr>
          <w:p w14:paraId="611D4A26" w14:textId="77777777" w:rsidR="005D0E2A" w:rsidRPr="005D0E2A" w:rsidRDefault="005D0E2A" w:rsidP="0006061A">
            <w:pPr>
              <w:spacing w:before="120" w:after="0" w:line="240" w:lineRule="auto"/>
              <w:jc w:val="center"/>
              <w:rPr>
                <w:rFonts w:cstheme="minorHAnsi"/>
                <w:lang w:val="en-GB"/>
              </w:rPr>
            </w:pPr>
            <w:r w:rsidRPr="005D0E2A">
              <w:rPr>
                <w:rFonts w:cstheme="minorHAnsi"/>
                <w:lang w:val="en-GB"/>
              </w:rPr>
              <w:t>Persoane cu dizabilități, tineri NEET, persoane din zone defavorizate</w:t>
            </w:r>
          </w:p>
        </w:tc>
        <w:tc>
          <w:tcPr>
            <w:tcW w:w="0" w:type="auto"/>
            <w:vAlign w:val="center"/>
            <w:hideMark/>
          </w:tcPr>
          <w:p w14:paraId="3BB26C4C" w14:textId="77777777" w:rsidR="005D0E2A" w:rsidRPr="005D0E2A" w:rsidRDefault="005D0E2A" w:rsidP="0006061A">
            <w:pPr>
              <w:spacing w:before="120" w:after="0" w:line="240" w:lineRule="auto"/>
              <w:jc w:val="center"/>
              <w:rPr>
                <w:rFonts w:cstheme="minorHAnsi"/>
                <w:lang w:val="en-GB"/>
              </w:rPr>
            </w:pPr>
            <w:r w:rsidRPr="005D0E2A">
              <w:rPr>
                <w:rFonts w:cstheme="minorHAnsi"/>
                <w:lang w:val="en-GB"/>
              </w:rPr>
              <w:t>Stimulente fiscale, subvenții pentru angajatori</w:t>
            </w:r>
          </w:p>
        </w:tc>
        <w:tc>
          <w:tcPr>
            <w:tcW w:w="0" w:type="auto"/>
            <w:vAlign w:val="center"/>
            <w:hideMark/>
          </w:tcPr>
          <w:p w14:paraId="46F166F1" w14:textId="77777777" w:rsidR="005D0E2A" w:rsidRPr="005D0E2A" w:rsidRDefault="005D0E2A" w:rsidP="0006061A">
            <w:pPr>
              <w:spacing w:before="120" w:after="0" w:line="240" w:lineRule="auto"/>
              <w:jc w:val="center"/>
              <w:rPr>
                <w:rFonts w:cstheme="minorHAnsi"/>
                <w:lang w:val="en-GB"/>
              </w:rPr>
            </w:pPr>
            <w:r w:rsidRPr="005D0E2A">
              <w:rPr>
                <w:rFonts w:cstheme="minorHAnsi"/>
                <w:lang w:val="en-GB"/>
              </w:rPr>
              <w:t>Formare profesională, consiliere</w:t>
            </w:r>
          </w:p>
        </w:tc>
        <w:tc>
          <w:tcPr>
            <w:tcW w:w="0" w:type="auto"/>
            <w:vAlign w:val="center"/>
            <w:hideMark/>
          </w:tcPr>
          <w:p w14:paraId="36070265" w14:textId="77777777" w:rsidR="005D0E2A" w:rsidRPr="005D0E2A" w:rsidRDefault="005D0E2A" w:rsidP="0006061A">
            <w:pPr>
              <w:spacing w:before="120" w:after="0" w:line="240" w:lineRule="auto"/>
              <w:jc w:val="center"/>
              <w:rPr>
                <w:rFonts w:cstheme="minorHAnsi"/>
                <w:lang w:val="en-GB"/>
              </w:rPr>
            </w:pPr>
            <w:r w:rsidRPr="005D0E2A">
              <w:rPr>
                <w:rFonts w:cstheme="minorHAnsi"/>
                <w:lang w:val="en-GB"/>
              </w:rPr>
              <w:t>Măsuri integrate de integrare a refugiaților</w:t>
            </w:r>
          </w:p>
        </w:tc>
      </w:tr>
      <w:tr w:rsidR="005D0E2A" w:rsidRPr="005D0E2A" w14:paraId="058DF09C" w14:textId="77777777" w:rsidTr="006A053E">
        <w:trPr>
          <w:tblCellSpacing w:w="15" w:type="dxa"/>
        </w:trPr>
        <w:tc>
          <w:tcPr>
            <w:tcW w:w="0" w:type="auto"/>
            <w:vAlign w:val="center"/>
            <w:hideMark/>
          </w:tcPr>
          <w:p w14:paraId="2EEE10C4" w14:textId="77777777" w:rsidR="005D0E2A" w:rsidRPr="005D0E2A" w:rsidRDefault="005D0E2A" w:rsidP="0006061A">
            <w:pPr>
              <w:spacing w:before="120" w:after="0" w:line="240" w:lineRule="auto"/>
              <w:jc w:val="both"/>
              <w:rPr>
                <w:rFonts w:cstheme="minorHAnsi"/>
                <w:lang w:val="en-GB"/>
              </w:rPr>
            </w:pPr>
            <w:r w:rsidRPr="005D0E2A">
              <w:rPr>
                <w:rFonts w:cstheme="minorHAnsi"/>
                <w:b/>
                <w:bCs/>
                <w:lang w:val="en-GB"/>
              </w:rPr>
              <w:t>Germania</w:t>
            </w:r>
          </w:p>
        </w:tc>
        <w:tc>
          <w:tcPr>
            <w:tcW w:w="0" w:type="auto"/>
            <w:vAlign w:val="center"/>
            <w:hideMark/>
          </w:tcPr>
          <w:p w14:paraId="7E05EE70" w14:textId="77777777" w:rsidR="005D0E2A" w:rsidRPr="005D0E2A" w:rsidRDefault="005D0E2A" w:rsidP="0006061A">
            <w:pPr>
              <w:spacing w:before="120" w:after="0" w:line="240" w:lineRule="auto"/>
              <w:jc w:val="center"/>
              <w:rPr>
                <w:rFonts w:cstheme="minorHAnsi"/>
                <w:lang w:val="en-GB"/>
              </w:rPr>
            </w:pPr>
            <w:r w:rsidRPr="005D0E2A">
              <w:rPr>
                <w:rFonts w:cstheme="minorHAnsi"/>
                <w:lang w:val="en-GB"/>
              </w:rPr>
              <w:t>Program de integrare a persoanelor cu dizabilități, măsuri pentru refugiați</w:t>
            </w:r>
          </w:p>
        </w:tc>
        <w:tc>
          <w:tcPr>
            <w:tcW w:w="0" w:type="auto"/>
            <w:vAlign w:val="center"/>
            <w:hideMark/>
          </w:tcPr>
          <w:p w14:paraId="44994A94" w14:textId="77777777" w:rsidR="005D0E2A" w:rsidRPr="005D0E2A" w:rsidRDefault="005D0E2A" w:rsidP="0006061A">
            <w:pPr>
              <w:spacing w:before="120" w:after="0" w:line="240" w:lineRule="auto"/>
              <w:jc w:val="center"/>
              <w:rPr>
                <w:rFonts w:cstheme="minorHAnsi"/>
                <w:lang w:val="en-GB"/>
              </w:rPr>
            </w:pPr>
            <w:r w:rsidRPr="005D0E2A">
              <w:rPr>
                <w:rFonts w:cstheme="minorHAnsi"/>
                <w:lang w:val="en-GB"/>
              </w:rPr>
              <w:t>Persoane cu dizabilități, tineri, refugiați, șomeri de lungă durată</w:t>
            </w:r>
          </w:p>
        </w:tc>
        <w:tc>
          <w:tcPr>
            <w:tcW w:w="0" w:type="auto"/>
            <w:vAlign w:val="center"/>
            <w:hideMark/>
          </w:tcPr>
          <w:p w14:paraId="47CEEE66" w14:textId="77777777" w:rsidR="005D0E2A" w:rsidRPr="005D0E2A" w:rsidRDefault="005D0E2A" w:rsidP="0006061A">
            <w:pPr>
              <w:spacing w:before="120" w:after="0" w:line="240" w:lineRule="auto"/>
              <w:jc w:val="center"/>
              <w:rPr>
                <w:rFonts w:cstheme="minorHAnsi"/>
                <w:lang w:val="en-GB"/>
              </w:rPr>
            </w:pPr>
            <w:r w:rsidRPr="005D0E2A">
              <w:rPr>
                <w:rFonts w:cstheme="minorHAnsi"/>
                <w:lang w:val="en-GB"/>
              </w:rPr>
              <w:t>Subvenții pentru angajatori, stimulente pentru angajarea persoanelor vulnerabile</w:t>
            </w:r>
          </w:p>
        </w:tc>
        <w:tc>
          <w:tcPr>
            <w:tcW w:w="0" w:type="auto"/>
            <w:vAlign w:val="center"/>
            <w:hideMark/>
          </w:tcPr>
          <w:p w14:paraId="689CA8B4" w14:textId="77777777" w:rsidR="005D0E2A" w:rsidRPr="005D0E2A" w:rsidRDefault="005D0E2A" w:rsidP="0006061A">
            <w:pPr>
              <w:spacing w:before="120" w:after="0" w:line="240" w:lineRule="auto"/>
              <w:jc w:val="center"/>
              <w:rPr>
                <w:rFonts w:cstheme="minorHAnsi"/>
                <w:lang w:val="en-GB"/>
              </w:rPr>
            </w:pPr>
            <w:r w:rsidRPr="005D0E2A">
              <w:rPr>
                <w:rFonts w:cstheme="minorHAnsi"/>
                <w:lang w:val="en-GB"/>
              </w:rPr>
              <w:t>Educație duală, formare continuă</w:t>
            </w:r>
          </w:p>
        </w:tc>
        <w:tc>
          <w:tcPr>
            <w:tcW w:w="0" w:type="auto"/>
            <w:vAlign w:val="center"/>
            <w:hideMark/>
          </w:tcPr>
          <w:p w14:paraId="5D00DF93" w14:textId="77777777" w:rsidR="005D0E2A" w:rsidRPr="005D0E2A" w:rsidRDefault="005D0E2A" w:rsidP="0006061A">
            <w:pPr>
              <w:spacing w:before="120" w:after="0" w:line="240" w:lineRule="auto"/>
              <w:jc w:val="center"/>
              <w:rPr>
                <w:rFonts w:cstheme="minorHAnsi"/>
                <w:lang w:val="en-GB"/>
              </w:rPr>
            </w:pPr>
            <w:r w:rsidRPr="005D0E2A">
              <w:rPr>
                <w:rFonts w:cstheme="minorHAnsi"/>
                <w:lang w:val="en-GB"/>
              </w:rPr>
              <w:t>Programe de integrare a refugiaților, formare și limbă</w:t>
            </w:r>
          </w:p>
        </w:tc>
      </w:tr>
      <w:tr w:rsidR="005D0E2A" w:rsidRPr="005D0E2A" w14:paraId="06205CAE" w14:textId="77777777" w:rsidTr="006A053E">
        <w:trPr>
          <w:tblCellSpacing w:w="15" w:type="dxa"/>
        </w:trPr>
        <w:tc>
          <w:tcPr>
            <w:tcW w:w="0" w:type="auto"/>
            <w:vAlign w:val="center"/>
            <w:hideMark/>
          </w:tcPr>
          <w:p w14:paraId="31543ADC" w14:textId="77777777" w:rsidR="005D0E2A" w:rsidRPr="005D0E2A" w:rsidRDefault="005D0E2A" w:rsidP="0006061A">
            <w:pPr>
              <w:spacing w:before="120" w:after="0" w:line="240" w:lineRule="auto"/>
              <w:jc w:val="both"/>
              <w:rPr>
                <w:rFonts w:cstheme="minorHAnsi"/>
                <w:lang w:val="en-GB"/>
              </w:rPr>
            </w:pPr>
            <w:r w:rsidRPr="005D0E2A">
              <w:rPr>
                <w:rFonts w:cstheme="minorHAnsi"/>
                <w:b/>
                <w:bCs/>
                <w:lang w:val="en-GB"/>
              </w:rPr>
              <w:t>Danemarca</w:t>
            </w:r>
          </w:p>
        </w:tc>
        <w:tc>
          <w:tcPr>
            <w:tcW w:w="0" w:type="auto"/>
            <w:vAlign w:val="center"/>
            <w:hideMark/>
          </w:tcPr>
          <w:p w14:paraId="0762C784" w14:textId="77777777" w:rsidR="005D0E2A" w:rsidRPr="005D0E2A" w:rsidRDefault="005D0E2A" w:rsidP="0006061A">
            <w:pPr>
              <w:spacing w:before="120" w:after="0" w:line="240" w:lineRule="auto"/>
              <w:jc w:val="center"/>
              <w:rPr>
                <w:rFonts w:cstheme="minorHAnsi"/>
                <w:lang w:val="en-GB"/>
              </w:rPr>
            </w:pPr>
            <w:r w:rsidRPr="005D0E2A">
              <w:rPr>
                <w:rFonts w:cstheme="minorHAnsi"/>
                <w:lang w:val="en-GB"/>
              </w:rPr>
              <w:t>Flexicuritate, măsuri active de ocupare, sprijin pentru angajatori</w:t>
            </w:r>
          </w:p>
        </w:tc>
        <w:tc>
          <w:tcPr>
            <w:tcW w:w="0" w:type="auto"/>
            <w:vAlign w:val="center"/>
            <w:hideMark/>
          </w:tcPr>
          <w:p w14:paraId="738CD244" w14:textId="77777777" w:rsidR="005D0E2A" w:rsidRPr="005D0E2A" w:rsidRDefault="005D0E2A" w:rsidP="0006061A">
            <w:pPr>
              <w:spacing w:before="120" w:after="0" w:line="240" w:lineRule="auto"/>
              <w:jc w:val="center"/>
              <w:rPr>
                <w:rFonts w:cstheme="minorHAnsi"/>
                <w:lang w:val="en-GB"/>
              </w:rPr>
            </w:pPr>
            <w:r w:rsidRPr="005D0E2A">
              <w:rPr>
                <w:rFonts w:cstheme="minorHAnsi"/>
                <w:lang w:val="en-GB"/>
              </w:rPr>
              <w:t>Tineri NEET, șomeri de lungă durată, persoane cu dizabilități, refugiați</w:t>
            </w:r>
          </w:p>
        </w:tc>
        <w:tc>
          <w:tcPr>
            <w:tcW w:w="0" w:type="auto"/>
            <w:vAlign w:val="center"/>
            <w:hideMark/>
          </w:tcPr>
          <w:p w14:paraId="7C6B6732" w14:textId="77777777" w:rsidR="005D0E2A" w:rsidRPr="005D0E2A" w:rsidRDefault="005D0E2A" w:rsidP="0006061A">
            <w:pPr>
              <w:spacing w:before="120" w:after="0" w:line="240" w:lineRule="auto"/>
              <w:jc w:val="center"/>
              <w:rPr>
                <w:rFonts w:cstheme="minorHAnsi"/>
                <w:lang w:val="en-GB"/>
              </w:rPr>
            </w:pPr>
            <w:r w:rsidRPr="005D0E2A">
              <w:rPr>
                <w:rFonts w:cstheme="minorHAnsi"/>
                <w:lang w:val="en-GB"/>
              </w:rPr>
              <w:t>Subvenții, stimulente pentru angajatori</w:t>
            </w:r>
          </w:p>
        </w:tc>
        <w:tc>
          <w:tcPr>
            <w:tcW w:w="0" w:type="auto"/>
            <w:vAlign w:val="center"/>
            <w:hideMark/>
          </w:tcPr>
          <w:p w14:paraId="3F62E9F7" w14:textId="77777777" w:rsidR="005D0E2A" w:rsidRPr="005D0E2A" w:rsidRDefault="005D0E2A" w:rsidP="0006061A">
            <w:pPr>
              <w:spacing w:before="120" w:after="0" w:line="240" w:lineRule="auto"/>
              <w:jc w:val="center"/>
              <w:rPr>
                <w:rFonts w:cstheme="minorHAnsi"/>
                <w:lang w:val="en-GB"/>
              </w:rPr>
            </w:pPr>
            <w:r w:rsidRPr="005D0E2A">
              <w:rPr>
                <w:rFonts w:cstheme="minorHAnsi"/>
                <w:lang w:val="en-GB"/>
              </w:rPr>
              <w:t>Formare profesională continuă, integrare socială</w:t>
            </w:r>
          </w:p>
        </w:tc>
        <w:tc>
          <w:tcPr>
            <w:tcW w:w="0" w:type="auto"/>
            <w:vAlign w:val="center"/>
            <w:hideMark/>
          </w:tcPr>
          <w:p w14:paraId="50B68BDC" w14:textId="77777777" w:rsidR="005D0E2A" w:rsidRPr="005D0E2A" w:rsidRDefault="005D0E2A" w:rsidP="0006061A">
            <w:pPr>
              <w:spacing w:before="120" w:after="0" w:line="240" w:lineRule="auto"/>
              <w:jc w:val="center"/>
              <w:rPr>
                <w:rFonts w:cstheme="minorHAnsi"/>
                <w:lang w:val="en-GB"/>
              </w:rPr>
            </w:pPr>
            <w:r w:rsidRPr="005D0E2A">
              <w:rPr>
                <w:rFonts w:cstheme="minorHAnsi"/>
                <w:lang w:val="en-GB"/>
              </w:rPr>
              <w:t>Cursuri de limbă și formare pentru refugiați</w:t>
            </w:r>
          </w:p>
        </w:tc>
      </w:tr>
    </w:tbl>
    <w:p w14:paraId="7BF6334D" w14:textId="77777777" w:rsidR="00C4274A" w:rsidRDefault="00C4274A" w:rsidP="005D0E2A">
      <w:pPr>
        <w:spacing w:before="120" w:after="0" w:line="360" w:lineRule="auto"/>
        <w:jc w:val="both"/>
        <w:rPr>
          <w:rFonts w:cstheme="minorHAnsi"/>
          <w:lang w:val="en-GB"/>
        </w:rPr>
      </w:pPr>
    </w:p>
    <w:p w14:paraId="392762DC" w14:textId="77777777" w:rsidR="00C4274A" w:rsidRDefault="00C4274A" w:rsidP="005D0E2A">
      <w:pPr>
        <w:spacing w:before="120" w:after="0" w:line="360" w:lineRule="auto"/>
        <w:jc w:val="both"/>
        <w:rPr>
          <w:rFonts w:cstheme="minorHAnsi"/>
          <w:lang w:val="en-GB"/>
        </w:rPr>
      </w:pPr>
    </w:p>
    <w:p w14:paraId="229025F3" w14:textId="2F1AFB4C" w:rsidR="005D0E2A" w:rsidRPr="005D0E2A" w:rsidRDefault="005D0E2A" w:rsidP="005D0E2A">
      <w:pPr>
        <w:spacing w:before="120" w:after="0" w:line="360" w:lineRule="auto"/>
        <w:jc w:val="both"/>
        <w:rPr>
          <w:rFonts w:cstheme="minorHAnsi"/>
          <w:lang w:val="en-GB"/>
        </w:rPr>
      </w:pPr>
      <w:r w:rsidRPr="005D0E2A">
        <w:rPr>
          <w:rFonts w:cstheme="minorHAnsi"/>
          <w:lang w:val="en-GB"/>
        </w:rPr>
        <w:t>Fiecare dintre aceste țări adoptă un mix de politici pentru sprijinirea persoanelor dezavantajate pe piața muncii</w:t>
      </w:r>
      <w:r w:rsidR="0006061A">
        <w:rPr>
          <w:rFonts w:cstheme="minorHAnsi"/>
          <w:lang w:val="en-GB"/>
        </w:rPr>
        <w:t>. F</w:t>
      </w:r>
      <w:r w:rsidRPr="005D0E2A">
        <w:rPr>
          <w:rFonts w:cstheme="minorHAnsi"/>
          <w:lang w:val="en-GB"/>
        </w:rPr>
        <w:t>ranța și Germania sunt mai proactive în implementarea de măsuri de integrare și subvenționare a angajatorilor. Danemarca se remarcă prin abordarea sa integrată bazată pe flexicuritate</w:t>
      </w:r>
      <w:r w:rsidR="0006061A">
        <w:rPr>
          <w:rFonts w:cstheme="minorHAnsi"/>
          <w:lang w:val="en-GB"/>
        </w:rPr>
        <w:t>, iar</w:t>
      </w:r>
      <w:r w:rsidRPr="005D0E2A">
        <w:rPr>
          <w:rFonts w:cstheme="minorHAnsi"/>
          <w:lang w:val="en-GB"/>
        </w:rPr>
        <w:t xml:space="preserve"> România depinde într-o mare măsură de sprijinul financiar european și de implementarea administrativă a acestora.</w:t>
      </w:r>
    </w:p>
    <w:p w14:paraId="7F3A8B6D" w14:textId="6BE51045" w:rsidR="00D01B5D" w:rsidRPr="00F04FD4" w:rsidRDefault="00D01B5D" w:rsidP="00F04FD4">
      <w:pPr>
        <w:rPr>
          <w:sz w:val="2"/>
          <w:szCs w:val="2"/>
        </w:rPr>
      </w:pPr>
    </w:p>
    <w:sectPr w:rsidR="00D01B5D" w:rsidRPr="00F04FD4" w:rsidSect="00CB59F9">
      <w:headerReference w:type="default" r:id="rId8"/>
      <w:footerReference w:type="default" r:id="rId9"/>
      <w:pgSz w:w="11906" w:h="16838" w:code="9"/>
      <w:pgMar w:top="1871" w:right="1418" w:bottom="1418" w:left="1418"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876CE" w14:textId="77777777" w:rsidR="00CB0669" w:rsidRDefault="00CB0669" w:rsidP="00D01B5D">
      <w:pPr>
        <w:spacing w:after="0" w:line="240" w:lineRule="auto"/>
      </w:pPr>
      <w:r>
        <w:separator/>
      </w:r>
    </w:p>
  </w:endnote>
  <w:endnote w:type="continuationSeparator" w:id="0">
    <w:p w14:paraId="4B407BA1" w14:textId="77777777" w:rsidR="00CB0669" w:rsidRDefault="00CB0669" w:rsidP="00D01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1641"/>
    </w:tblGrid>
    <w:tr w:rsidR="00D01B5D" w:rsidRPr="004C3C86" w14:paraId="426E871C" w14:textId="77777777" w:rsidTr="00902375">
      <w:tc>
        <w:tcPr>
          <w:tcW w:w="7655" w:type="dxa"/>
        </w:tcPr>
        <w:p w14:paraId="7A6EF4E5" w14:textId="79E3B70F" w:rsidR="00D01B5D" w:rsidRPr="004C3C86" w:rsidRDefault="00D01B5D" w:rsidP="00D01B5D">
          <w:pPr>
            <w:pStyle w:val="Footer"/>
          </w:pPr>
          <w:r w:rsidRPr="004C3C86">
            <w:t>Contract</w:t>
          </w:r>
          <w:r w:rsidR="00234435" w:rsidRPr="004C3C86">
            <w:t xml:space="preserve"> </w:t>
          </w:r>
          <w:r w:rsidR="00343F1D" w:rsidRPr="00343F1D">
            <w:t>PEO/48/PEO_P1/OP4/ESO4.2/PEO_A7/309187</w:t>
          </w:r>
        </w:p>
        <w:p w14:paraId="0DB5E3A4" w14:textId="1FC4C178" w:rsidR="00D01B5D" w:rsidRPr="004C3C86" w:rsidRDefault="008B1CC8" w:rsidP="00D01B5D">
          <w:pPr>
            <w:pStyle w:val="Footer"/>
          </w:pPr>
          <w:r w:rsidRPr="004C3C86">
            <w:t>Proiect</w:t>
          </w:r>
          <w:r w:rsidRPr="004C3C86">
            <w:rPr>
              <w:b/>
              <w:bCs/>
            </w:rPr>
            <w:t xml:space="preserve"> c</w:t>
          </w:r>
          <w:r w:rsidR="00C3616A" w:rsidRPr="004C3C86">
            <w:rPr>
              <w:b/>
              <w:bCs/>
            </w:rPr>
            <w:t>ofinanțat de Uniunea Europeană</w:t>
          </w:r>
          <w:r w:rsidR="00C3616A" w:rsidRPr="004C3C86">
            <w:t xml:space="preserve"> </w:t>
          </w:r>
          <w:r w:rsidR="00D01B5D" w:rsidRPr="004C3C86">
            <w:t>prin</w:t>
          </w:r>
        </w:p>
        <w:p w14:paraId="15EAB42B" w14:textId="6A3AF0C1" w:rsidR="00D01B5D" w:rsidRPr="004C3C86" w:rsidRDefault="00C3616A" w:rsidP="00D01B5D">
          <w:pPr>
            <w:pStyle w:val="Footer"/>
          </w:pPr>
          <w:r w:rsidRPr="004C3C86">
            <w:t>PROGRAMUL EDUCAȚIE ȘI OCUPARE 2021-2027</w:t>
          </w:r>
        </w:p>
      </w:tc>
      <w:tc>
        <w:tcPr>
          <w:tcW w:w="1641" w:type="dxa"/>
        </w:tcPr>
        <w:p w14:paraId="680E81D4" w14:textId="77777777" w:rsidR="00D01B5D" w:rsidRPr="004C3C86" w:rsidRDefault="00D01B5D" w:rsidP="00D01B5D">
          <w:pPr>
            <w:pStyle w:val="Footer"/>
            <w:jc w:val="right"/>
          </w:pPr>
          <w:r w:rsidRPr="004C3C86">
            <w:t xml:space="preserve">Pagina: </w:t>
          </w:r>
          <w:r w:rsidR="00927164" w:rsidRPr="004C3C86">
            <w:fldChar w:fldCharType="begin"/>
          </w:r>
          <w:r w:rsidRPr="004C3C86">
            <w:instrText xml:space="preserve"> PAGE   \* MERGEFORMAT </w:instrText>
          </w:r>
          <w:r w:rsidR="00927164" w:rsidRPr="004C3C86">
            <w:fldChar w:fldCharType="separate"/>
          </w:r>
          <w:r w:rsidR="00A33D39" w:rsidRPr="004C3C86">
            <w:rPr>
              <w:noProof/>
            </w:rPr>
            <w:t>1</w:t>
          </w:r>
          <w:r w:rsidR="00927164" w:rsidRPr="004C3C86">
            <w:fldChar w:fldCharType="end"/>
          </w:r>
          <w:r w:rsidRPr="004C3C86">
            <w:t>/</w:t>
          </w:r>
          <w:fldSimple w:instr=" NUMPAGES   \* MERGEFORMAT ">
            <w:r w:rsidR="00A33D39" w:rsidRPr="004C3C86">
              <w:rPr>
                <w:noProof/>
              </w:rPr>
              <w:t>1</w:t>
            </w:r>
          </w:fldSimple>
        </w:p>
        <w:p w14:paraId="0F97824D" w14:textId="77777777" w:rsidR="00D01B5D" w:rsidRPr="004C3C86" w:rsidRDefault="00D01B5D" w:rsidP="00D01B5D">
          <w:pPr>
            <w:pStyle w:val="Footer"/>
            <w:jc w:val="right"/>
          </w:pPr>
        </w:p>
      </w:tc>
    </w:tr>
  </w:tbl>
  <w:p w14:paraId="25420D6C" w14:textId="77777777" w:rsidR="00D01B5D" w:rsidRPr="004C3C86" w:rsidRDefault="00D01B5D" w:rsidP="00B844FB">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3C19F" w14:textId="77777777" w:rsidR="00CB0669" w:rsidRDefault="00CB0669" w:rsidP="00D01B5D">
      <w:pPr>
        <w:spacing w:after="0" w:line="240" w:lineRule="auto"/>
      </w:pPr>
      <w:r>
        <w:separator/>
      </w:r>
    </w:p>
  </w:footnote>
  <w:footnote w:type="continuationSeparator" w:id="0">
    <w:p w14:paraId="507DF6B1" w14:textId="77777777" w:rsidR="00CB0669" w:rsidRDefault="00CB0669" w:rsidP="00D01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F7207" w14:textId="281BF669" w:rsidR="00D01B5D" w:rsidRDefault="002C37D5" w:rsidP="00B20814">
    <w:pPr>
      <w:pStyle w:val="Header"/>
      <w:jc w:val="center"/>
      <w:rPr>
        <w:noProof/>
      </w:rPr>
    </w:pPr>
    <w:r>
      <w:rPr>
        <w:noProof/>
      </w:rPr>
      <w:drawing>
        <wp:inline distT="0" distB="0" distL="0" distR="0" wp14:anchorId="1A6B7649" wp14:editId="69A633BE">
          <wp:extent cx="3443605" cy="724535"/>
          <wp:effectExtent l="0" t="0" r="0" b="0"/>
          <wp:docPr id="1255535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3605" cy="724535"/>
                  </a:xfrm>
                  <a:prstGeom prst="rect">
                    <a:avLst/>
                  </a:prstGeom>
                  <a:noFill/>
                  <a:ln>
                    <a:noFill/>
                  </a:ln>
                </pic:spPr>
              </pic:pic>
            </a:graphicData>
          </a:graphic>
        </wp:inline>
      </w:drawing>
    </w:r>
    <w:r w:rsidR="00B20814">
      <w:rPr>
        <w:noProof/>
      </w:rPr>
      <w:tab/>
    </w:r>
    <w:r w:rsidR="00B667F0" w:rsidRPr="00B667F0">
      <w:rPr>
        <w:noProof/>
      </w:rPr>
      <w:drawing>
        <wp:inline distT="0" distB="0" distL="0" distR="0" wp14:anchorId="3F61281F" wp14:editId="5F98FDDE">
          <wp:extent cx="720000" cy="720000"/>
          <wp:effectExtent l="0" t="0" r="0" b="0"/>
          <wp:docPr id="2001073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411638" name=""/>
                  <pic:cNvPicPr/>
                </pic:nvPicPr>
                <pic:blipFill>
                  <a:blip r:embed="rId2"/>
                  <a:stretch>
                    <a:fillRect/>
                  </a:stretch>
                </pic:blipFill>
                <pic:spPr>
                  <a:xfrm>
                    <a:off x="0" y="0"/>
                    <a:ext cx="72000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6BEF"/>
    <w:multiLevelType w:val="multilevel"/>
    <w:tmpl w:val="7676F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14268"/>
    <w:multiLevelType w:val="multilevel"/>
    <w:tmpl w:val="D4F449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31645"/>
    <w:multiLevelType w:val="multilevel"/>
    <w:tmpl w:val="814A685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364358"/>
    <w:multiLevelType w:val="hybridMultilevel"/>
    <w:tmpl w:val="AF54D818"/>
    <w:lvl w:ilvl="0" w:tplc="AA26FEFC">
      <w:start w:val="1"/>
      <w:numFmt w:val="bullet"/>
      <w:lvlText w:val="□"/>
      <w:lvlJc w:val="left"/>
      <w:pPr>
        <w:ind w:left="1060" w:hanging="360"/>
      </w:pPr>
      <w:rPr>
        <w:rFonts w:ascii="Courier New" w:hAnsi="Courier New"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 w15:restartNumberingAfterBreak="0">
    <w:nsid w:val="0C8D3761"/>
    <w:multiLevelType w:val="multilevel"/>
    <w:tmpl w:val="8D10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ED58AE"/>
    <w:multiLevelType w:val="multilevel"/>
    <w:tmpl w:val="A5B0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F2807"/>
    <w:multiLevelType w:val="hybridMultilevel"/>
    <w:tmpl w:val="BFEEB6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EE3819"/>
    <w:multiLevelType w:val="multilevel"/>
    <w:tmpl w:val="C88E7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AE19B1"/>
    <w:multiLevelType w:val="multilevel"/>
    <w:tmpl w:val="C75E0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1A27FB"/>
    <w:multiLevelType w:val="multilevel"/>
    <w:tmpl w:val="C25833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3B39FE"/>
    <w:multiLevelType w:val="hybridMultilevel"/>
    <w:tmpl w:val="0748B4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825B85"/>
    <w:multiLevelType w:val="hybridMultilevel"/>
    <w:tmpl w:val="89CE08B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B91092"/>
    <w:multiLevelType w:val="multilevel"/>
    <w:tmpl w:val="B2B09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1702EA"/>
    <w:multiLevelType w:val="multilevel"/>
    <w:tmpl w:val="CF02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E633B9"/>
    <w:multiLevelType w:val="multilevel"/>
    <w:tmpl w:val="73C482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A34A09"/>
    <w:multiLevelType w:val="multilevel"/>
    <w:tmpl w:val="894CAD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AB3C35"/>
    <w:multiLevelType w:val="multilevel"/>
    <w:tmpl w:val="F48E7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A548D6"/>
    <w:multiLevelType w:val="multilevel"/>
    <w:tmpl w:val="0BA88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797C9D"/>
    <w:multiLevelType w:val="hybridMultilevel"/>
    <w:tmpl w:val="DEB8BE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CE036E"/>
    <w:multiLevelType w:val="multilevel"/>
    <w:tmpl w:val="AF1C43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723EDB"/>
    <w:multiLevelType w:val="multilevel"/>
    <w:tmpl w:val="239EB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4D182F"/>
    <w:multiLevelType w:val="multilevel"/>
    <w:tmpl w:val="D2269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3126E7"/>
    <w:multiLevelType w:val="multilevel"/>
    <w:tmpl w:val="4C666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2B6291"/>
    <w:multiLevelType w:val="multilevel"/>
    <w:tmpl w:val="FADC88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925A76"/>
    <w:multiLevelType w:val="multilevel"/>
    <w:tmpl w:val="C4E4F1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024806"/>
    <w:multiLevelType w:val="multilevel"/>
    <w:tmpl w:val="C7965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421460"/>
    <w:multiLevelType w:val="multilevel"/>
    <w:tmpl w:val="AC76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76709A"/>
    <w:multiLevelType w:val="hybridMultilevel"/>
    <w:tmpl w:val="325C5F6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99A6124"/>
    <w:multiLevelType w:val="multilevel"/>
    <w:tmpl w:val="63B220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EC5ABE"/>
    <w:multiLevelType w:val="multilevel"/>
    <w:tmpl w:val="B4128B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F514B9"/>
    <w:multiLevelType w:val="multilevel"/>
    <w:tmpl w:val="6EFA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A00B26"/>
    <w:multiLevelType w:val="multilevel"/>
    <w:tmpl w:val="D1B82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18538B"/>
    <w:multiLevelType w:val="multilevel"/>
    <w:tmpl w:val="9FDC61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357C5C"/>
    <w:multiLevelType w:val="multilevel"/>
    <w:tmpl w:val="49FE22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DD1D3E"/>
    <w:multiLevelType w:val="multilevel"/>
    <w:tmpl w:val="5CDCC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CF4343C"/>
    <w:multiLevelType w:val="hybridMultilevel"/>
    <w:tmpl w:val="3F60BF90"/>
    <w:lvl w:ilvl="0" w:tplc="5D76DC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1449B0"/>
    <w:multiLevelType w:val="multilevel"/>
    <w:tmpl w:val="4C34EB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902954"/>
    <w:multiLevelType w:val="multilevel"/>
    <w:tmpl w:val="74B2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0C56BC"/>
    <w:multiLevelType w:val="multilevel"/>
    <w:tmpl w:val="6262B5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881058"/>
    <w:multiLevelType w:val="multilevel"/>
    <w:tmpl w:val="5D88989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B61CF1"/>
    <w:multiLevelType w:val="multilevel"/>
    <w:tmpl w:val="7A6881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E6492D"/>
    <w:multiLevelType w:val="multilevel"/>
    <w:tmpl w:val="E902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8E72A2"/>
    <w:multiLevelType w:val="multilevel"/>
    <w:tmpl w:val="EC38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0C3C20"/>
    <w:multiLevelType w:val="multilevel"/>
    <w:tmpl w:val="328EDE0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4F2C42"/>
    <w:multiLevelType w:val="multilevel"/>
    <w:tmpl w:val="940AA7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6E7F36"/>
    <w:multiLevelType w:val="multilevel"/>
    <w:tmpl w:val="1E3C2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0AB1E61"/>
    <w:multiLevelType w:val="multilevel"/>
    <w:tmpl w:val="42004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E53B66"/>
    <w:multiLevelType w:val="multilevel"/>
    <w:tmpl w:val="EE5CD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38166C6"/>
    <w:multiLevelType w:val="multilevel"/>
    <w:tmpl w:val="0B44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38E6768"/>
    <w:multiLevelType w:val="multilevel"/>
    <w:tmpl w:val="0A12AA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4967848"/>
    <w:multiLevelType w:val="multilevel"/>
    <w:tmpl w:val="442A94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A5152C2"/>
    <w:multiLevelType w:val="multilevel"/>
    <w:tmpl w:val="59A6C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D7D6CD0"/>
    <w:multiLevelType w:val="multilevel"/>
    <w:tmpl w:val="7C1E2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F890F4E"/>
    <w:multiLevelType w:val="multilevel"/>
    <w:tmpl w:val="3462F1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1537814">
    <w:abstractNumId w:val="3"/>
  </w:num>
  <w:num w:numId="2" w16cid:durableId="271867196">
    <w:abstractNumId w:val="2"/>
  </w:num>
  <w:num w:numId="3" w16cid:durableId="132992392">
    <w:abstractNumId w:val="11"/>
  </w:num>
  <w:num w:numId="4" w16cid:durableId="1266963972">
    <w:abstractNumId w:val="6"/>
  </w:num>
  <w:num w:numId="5" w16cid:durableId="1345590319">
    <w:abstractNumId w:val="46"/>
  </w:num>
  <w:num w:numId="6" w16cid:durableId="259262417">
    <w:abstractNumId w:val="5"/>
  </w:num>
  <w:num w:numId="7" w16cid:durableId="909578102">
    <w:abstractNumId w:val="12"/>
  </w:num>
  <w:num w:numId="8" w16cid:durableId="19092208">
    <w:abstractNumId w:val="37"/>
  </w:num>
  <w:num w:numId="9" w16cid:durableId="1717198003">
    <w:abstractNumId w:val="4"/>
  </w:num>
  <w:num w:numId="10" w16cid:durableId="1422994060">
    <w:abstractNumId w:val="52"/>
  </w:num>
  <w:num w:numId="11" w16cid:durableId="225457371">
    <w:abstractNumId w:val="47"/>
  </w:num>
  <w:num w:numId="12" w16cid:durableId="645822747">
    <w:abstractNumId w:val="48"/>
  </w:num>
  <w:num w:numId="13" w16cid:durableId="887113192">
    <w:abstractNumId w:val="18"/>
  </w:num>
  <w:num w:numId="14" w16cid:durableId="1968924056">
    <w:abstractNumId w:val="14"/>
  </w:num>
  <w:num w:numId="15" w16cid:durableId="1145200440">
    <w:abstractNumId w:val="38"/>
  </w:num>
  <w:num w:numId="16" w16cid:durableId="1300570085">
    <w:abstractNumId w:val="32"/>
  </w:num>
  <w:num w:numId="17" w16cid:durableId="770860683">
    <w:abstractNumId w:val="36"/>
  </w:num>
  <w:num w:numId="18" w16cid:durableId="1728643539">
    <w:abstractNumId w:val="28"/>
  </w:num>
  <w:num w:numId="19" w16cid:durableId="687562392">
    <w:abstractNumId w:val="33"/>
  </w:num>
  <w:num w:numId="20" w16cid:durableId="689985797">
    <w:abstractNumId w:val="24"/>
  </w:num>
  <w:num w:numId="21" w16cid:durableId="946736512">
    <w:abstractNumId w:val="10"/>
  </w:num>
  <w:num w:numId="22" w16cid:durableId="117995555">
    <w:abstractNumId w:val="35"/>
  </w:num>
  <w:num w:numId="23" w16cid:durableId="684212043">
    <w:abstractNumId w:val="25"/>
  </w:num>
  <w:num w:numId="24" w16cid:durableId="1001618160">
    <w:abstractNumId w:val="30"/>
  </w:num>
  <w:num w:numId="25" w16cid:durableId="171460278">
    <w:abstractNumId w:val="16"/>
  </w:num>
  <w:num w:numId="26" w16cid:durableId="1297685959">
    <w:abstractNumId w:val="42"/>
  </w:num>
  <w:num w:numId="27" w16cid:durableId="155194900">
    <w:abstractNumId w:val="13"/>
  </w:num>
  <w:num w:numId="28" w16cid:durableId="1029136875">
    <w:abstractNumId w:val="20"/>
  </w:num>
  <w:num w:numId="29" w16cid:durableId="1029186947">
    <w:abstractNumId w:val="26"/>
  </w:num>
  <w:num w:numId="30" w16cid:durableId="742529295">
    <w:abstractNumId w:val="23"/>
  </w:num>
  <w:num w:numId="31" w16cid:durableId="121002214">
    <w:abstractNumId w:val="40"/>
  </w:num>
  <w:num w:numId="32" w16cid:durableId="1867137002">
    <w:abstractNumId w:val="15"/>
  </w:num>
  <w:num w:numId="33" w16cid:durableId="1348756519">
    <w:abstractNumId w:val="49"/>
  </w:num>
  <w:num w:numId="34" w16cid:durableId="1542595099">
    <w:abstractNumId w:val="53"/>
  </w:num>
  <w:num w:numId="35" w16cid:durableId="321786071">
    <w:abstractNumId w:val="27"/>
  </w:num>
  <w:num w:numId="36" w16cid:durableId="675498020">
    <w:abstractNumId w:val="44"/>
  </w:num>
  <w:num w:numId="37" w16cid:durableId="1011838999">
    <w:abstractNumId w:val="50"/>
  </w:num>
  <w:num w:numId="38" w16cid:durableId="918759508">
    <w:abstractNumId w:val="39"/>
  </w:num>
  <w:num w:numId="39" w16cid:durableId="272173248">
    <w:abstractNumId w:val="36"/>
  </w:num>
  <w:num w:numId="40" w16cid:durableId="1117993091">
    <w:abstractNumId w:val="51"/>
  </w:num>
  <w:num w:numId="41" w16cid:durableId="1713731515">
    <w:abstractNumId w:val="31"/>
  </w:num>
  <w:num w:numId="42" w16cid:durableId="84151373">
    <w:abstractNumId w:val="17"/>
  </w:num>
  <w:num w:numId="43" w16cid:durableId="506869594">
    <w:abstractNumId w:val="21"/>
  </w:num>
  <w:num w:numId="44" w16cid:durableId="1654526298">
    <w:abstractNumId w:val="22"/>
  </w:num>
  <w:num w:numId="45" w16cid:durableId="2122142632">
    <w:abstractNumId w:val="41"/>
  </w:num>
  <w:num w:numId="46" w16cid:durableId="1840002042">
    <w:abstractNumId w:val="7"/>
  </w:num>
  <w:num w:numId="47" w16cid:durableId="2054038369">
    <w:abstractNumId w:val="8"/>
  </w:num>
  <w:num w:numId="48" w16cid:durableId="1108424140">
    <w:abstractNumId w:val="45"/>
  </w:num>
  <w:num w:numId="49" w16cid:durableId="1153452517">
    <w:abstractNumId w:val="43"/>
  </w:num>
  <w:num w:numId="50" w16cid:durableId="71509926">
    <w:abstractNumId w:val="0"/>
  </w:num>
  <w:num w:numId="51" w16cid:durableId="406657760">
    <w:abstractNumId w:val="34"/>
  </w:num>
  <w:num w:numId="52" w16cid:durableId="252983298">
    <w:abstractNumId w:val="9"/>
  </w:num>
  <w:num w:numId="53" w16cid:durableId="1200127804">
    <w:abstractNumId w:val="1"/>
  </w:num>
  <w:num w:numId="54" w16cid:durableId="1012300590">
    <w:abstractNumId w:val="19"/>
  </w:num>
  <w:num w:numId="55" w16cid:durableId="2996562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B5D"/>
    <w:rsid w:val="00002077"/>
    <w:rsid w:val="000179F0"/>
    <w:rsid w:val="00022F3D"/>
    <w:rsid w:val="00025EBA"/>
    <w:rsid w:val="00032D1B"/>
    <w:rsid w:val="0006061A"/>
    <w:rsid w:val="00073476"/>
    <w:rsid w:val="00075AC4"/>
    <w:rsid w:val="00097F83"/>
    <w:rsid w:val="000D774F"/>
    <w:rsid w:val="00101D66"/>
    <w:rsid w:val="00105F40"/>
    <w:rsid w:val="00116294"/>
    <w:rsid w:val="00127773"/>
    <w:rsid w:val="00173B10"/>
    <w:rsid w:val="00176C5D"/>
    <w:rsid w:val="0018287B"/>
    <w:rsid w:val="001A1854"/>
    <w:rsid w:val="001D155B"/>
    <w:rsid w:val="001E083A"/>
    <w:rsid w:val="001F38EB"/>
    <w:rsid w:val="001F3EE9"/>
    <w:rsid w:val="001F60C4"/>
    <w:rsid w:val="002021D4"/>
    <w:rsid w:val="00222AF1"/>
    <w:rsid w:val="002244A4"/>
    <w:rsid w:val="002323CE"/>
    <w:rsid w:val="00234435"/>
    <w:rsid w:val="00245B72"/>
    <w:rsid w:val="00257314"/>
    <w:rsid w:val="00260CB7"/>
    <w:rsid w:val="0026126D"/>
    <w:rsid w:val="00290680"/>
    <w:rsid w:val="00295D13"/>
    <w:rsid w:val="002A0EB2"/>
    <w:rsid w:val="002B3F79"/>
    <w:rsid w:val="002C3735"/>
    <w:rsid w:val="002C37D5"/>
    <w:rsid w:val="00321A59"/>
    <w:rsid w:val="0032379E"/>
    <w:rsid w:val="0034098E"/>
    <w:rsid w:val="00341EB6"/>
    <w:rsid w:val="00342ECC"/>
    <w:rsid w:val="00343F1D"/>
    <w:rsid w:val="003440D6"/>
    <w:rsid w:val="00344A7E"/>
    <w:rsid w:val="00353042"/>
    <w:rsid w:val="003C4F21"/>
    <w:rsid w:val="003E6A49"/>
    <w:rsid w:val="003E6C16"/>
    <w:rsid w:val="004078E4"/>
    <w:rsid w:val="00421535"/>
    <w:rsid w:val="00444743"/>
    <w:rsid w:val="00451998"/>
    <w:rsid w:val="00462CC5"/>
    <w:rsid w:val="00466521"/>
    <w:rsid w:val="004834BC"/>
    <w:rsid w:val="004835B7"/>
    <w:rsid w:val="004A23A1"/>
    <w:rsid w:val="004B5980"/>
    <w:rsid w:val="004C3C86"/>
    <w:rsid w:val="004E704E"/>
    <w:rsid w:val="00506CB8"/>
    <w:rsid w:val="0051738D"/>
    <w:rsid w:val="005324CF"/>
    <w:rsid w:val="00537090"/>
    <w:rsid w:val="005568F2"/>
    <w:rsid w:val="005614B2"/>
    <w:rsid w:val="00581476"/>
    <w:rsid w:val="005948EF"/>
    <w:rsid w:val="005C0064"/>
    <w:rsid w:val="005C2B58"/>
    <w:rsid w:val="005D0284"/>
    <w:rsid w:val="005D0E2A"/>
    <w:rsid w:val="005E5EFD"/>
    <w:rsid w:val="00610F2D"/>
    <w:rsid w:val="0062009F"/>
    <w:rsid w:val="00627D62"/>
    <w:rsid w:val="00672C41"/>
    <w:rsid w:val="00677E05"/>
    <w:rsid w:val="006A053E"/>
    <w:rsid w:val="006C3C09"/>
    <w:rsid w:val="006C4FF9"/>
    <w:rsid w:val="006E0BB5"/>
    <w:rsid w:val="006E145C"/>
    <w:rsid w:val="006E21D8"/>
    <w:rsid w:val="006E689F"/>
    <w:rsid w:val="00714AD1"/>
    <w:rsid w:val="00756488"/>
    <w:rsid w:val="00781672"/>
    <w:rsid w:val="007968C6"/>
    <w:rsid w:val="007B086D"/>
    <w:rsid w:val="007D56E8"/>
    <w:rsid w:val="007F51F9"/>
    <w:rsid w:val="00806290"/>
    <w:rsid w:val="008131ED"/>
    <w:rsid w:val="00813A85"/>
    <w:rsid w:val="00853E5D"/>
    <w:rsid w:val="00862186"/>
    <w:rsid w:val="00862FD7"/>
    <w:rsid w:val="00892759"/>
    <w:rsid w:val="008B1598"/>
    <w:rsid w:val="008B1ABE"/>
    <w:rsid w:val="008B1CC8"/>
    <w:rsid w:val="008B4A7F"/>
    <w:rsid w:val="00901E8B"/>
    <w:rsid w:val="00905AE9"/>
    <w:rsid w:val="0091624E"/>
    <w:rsid w:val="009261C4"/>
    <w:rsid w:val="00927164"/>
    <w:rsid w:val="00934727"/>
    <w:rsid w:val="00934FE0"/>
    <w:rsid w:val="00936223"/>
    <w:rsid w:val="009A1BD0"/>
    <w:rsid w:val="009C09C1"/>
    <w:rsid w:val="009D7ECC"/>
    <w:rsid w:val="00A277D1"/>
    <w:rsid w:val="00A31BC3"/>
    <w:rsid w:val="00A33D39"/>
    <w:rsid w:val="00A80369"/>
    <w:rsid w:val="00AC3EBF"/>
    <w:rsid w:val="00AD6490"/>
    <w:rsid w:val="00AE078C"/>
    <w:rsid w:val="00AF7A9C"/>
    <w:rsid w:val="00B022A8"/>
    <w:rsid w:val="00B12F64"/>
    <w:rsid w:val="00B15DAE"/>
    <w:rsid w:val="00B20814"/>
    <w:rsid w:val="00B5081B"/>
    <w:rsid w:val="00B54BE2"/>
    <w:rsid w:val="00B6436D"/>
    <w:rsid w:val="00B667F0"/>
    <w:rsid w:val="00B70956"/>
    <w:rsid w:val="00B76070"/>
    <w:rsid w:val="00B844FB"/>
    <w:rsid w:val="00B90434"/>
    <w:rsid w:val="00BA2E0F"/>
    <w:rsid w:val="00BC5C76"/>
    <w:rsid w:val="00BF0339"/>
    <w:rsid w:val="00BF4ACC"/>
    <w:rsid w:val="00C02C31"/>
    <w:rsid w:val="00C3616A"/>
    <w:rsid w:val="00C4274A"/>
    <w:rsid w:val="00C42E59"/>
    <w:rsid w:val="00C52072"/>
    <w:rsid w:val="00C6270B"/>
    <w:rsid w:val="00C92E8C"/>
    <w:rsid w:val="00C96ADD"/>
    <w:rsid w:val="00CA167D"/>
    <w:rsid w:val="00CB0669"/>
    <w:rsid w:val="00CB5421"/>
    <w:rsid w:val="00CB59F9"/>
    <w:rsid w:val="00CE1CB1"/>
    <w:rsid w:val="00CE37A4"/>
    <w:rsid w:val="00D01B5D"/>
    <w:rsid w:val="00D02D72"/>
    <w:rsid w:val="00D211E5"/>
    <w:rsid w:val="00D26A73"/>
    <w:rsid w:val="00D93F42"/>
    <w:rsid w:val="00DA3819"/>
    <w:rsid w:val="00DB05E1"/>
    <w:rsid w:val="00DC44DA"/>
    <w:rsid w:val="00DE3D50"/>
    <w:rsid w:val="00DE722A"/>
    <w:rsid w:val="00DF1CCA"/>
    <w:rsid w:val="00E05097"/>
    <w:rsid w:val="00E05D98"/>
    <w:rsid w:val="00E10D5C"/>
    <w:rsid w:val="00E27FCB"/>
    <w:rsid w:val="00E37987"/>
    <w:rsid w:val="00E73FB3"/>
    <w:rsid w:val="00EC704F"/>
    <w:rsid w:val="00ED1CDE"/>
    <w:rsid w:val="00EE5059"/>
    <w:rsid w:val="00EF3EB9"/>
    <w:rsid w:val="00F0272B"/>
    <w:rsid w:val="00F044CE"/>
    <w:rsid w:val="00F04FD4"/>
    <w:rsid w:val="00F177D4"/>
    <w:rsid w:val="00F20DBB"/>
    <w:rsid w:val="00F21E31"/>
    <w:rsid w:val="00F26334"/>
    <w:rsid w:val="00F669FE"/>
    <w:rsid w:val="00F817AF"/>
    <w:rsid w:val="00F91961"/>
    <w:rsid w:val="00FB485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41BB5DDD"/>
  <w15:docId w15:val="{450E0911-9738-465E-91ED-2D08D93C3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98E"/>
  </w:style>
  <w:style w:type="paragraph" w:styleId="Heading1">
    <w:name w:val="heading 1"/>
    <w:basedOn w:val="Normal"/>
    <w:next w:val="Normal"/>
    <w:link w:val="Heading1Char"/>
    <w:uiPriority w:val="9"/>
    <w:qFormat/>
    <w:rsid w:val="00FB485E"/>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215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D01B5D"/>
  </w:style>
  <w:style w:type="paragraph" w:styleId="Footer">
    <w:name w:val="footer"/>
    <w:basedOn w:val="Normal"/>
    <w:link w:val="FooterChar"/>
    <w:uiPriority w:val="99"/>
    <w:unhideWhenUsed/>
    <w:rsid w:val="00D01B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D01B5D"/>
  </w:style>
  <w:style w:type="table" w:styleId="TableGrid">
    <w:name w:val="Table Grid"/>
    <w:basedOn w:val="TableNormal"/>
    <w:uiPriority w:val="59"/>
    <w:rsid w:val="00D01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44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4FB"/>
    <w:rPr>
      <w:rFonts w:ascii="Segoe UI" w:hAnsi="Segoe UI" w:cs="Segoe UI"/>
      <w:sz w:val="18"/>
      <w:szCs w:val="18"/>
    </w:rPr>
  </w:style>
  <w:style w:type="character" w:customStyle="1" w:styleId="Heading1Char">
    <w:name w:val="Heading 1 Char"/>
    <w:basedOn w:val="DefaultParagraphFont"/>
    <w:link w:val="Heading1"/>
    <w:uiPriority w:val="9"/>
    <w:rsid w:val="00FB485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B485E"/>
    <w:pPr>
      <w:ind w:left="720"/>
      <w:contextualSpacing/>
    </w:pPr>
  </w:style>
  <w:style w:type="character" w:styleId="IntenseReference">
    <w:name w:val="Intense Reference"/>
    <w:uiPriority w:val="32"/>
    <w:qFormat/>
    <w:rsid w:val="00FB485E"/>
    <w:rPr>
      <w:b/>
      <w:bCs/>
      <w:smallCaps/>
      <w:color w:val="5B9BD5"/>
      <w:spacing w:val="5"/>
    </w:rPr>
  </w:style>
  <w:style w:type="table" w:customStyle="1" w:styleId="TableGrid1">
    <w:name w:val="Table Grid1"/>
    <w:basedOn w:val="TableNormal"/>
    <w:next w:val="TableGrid"/>
    <w:uiPriority w:val="59"/>
    <w:rsid w:val="00FB485E"/>
    <w:pPr>
      <w:suppressAutoHyphens/>
      <w:spacing w:after="0" w:line="240" w:lineRule="auto"/>
      <w:ind w:left="340"/>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FB485E"/>
    <w:pPr>
      <w:spacing w:after="0" w:line="240" w:lineRule="auto"/>
    </w:pPr>
    <w:rPr>
      <w:sz w:val="20"/>
      <w:szCs w:val="20"/>
    </w:rPr>
  </w:style>
  <w:style w:type="character" w:customStyle="1" w:styleId="FootnoteTextChar">
    <w:name w:val="Footnote Text Char"/>
    <w:basedOn w:val="DefaultParagraphFont"/>
    <w:link w:val="FootnoteText"/>
    <w:uiPriority w:val="99"/>
    <w:rsid w:val="00FB485E"/>
    <w:rPr>
      <w:sz w:val="20"/>
      <w:szCs w:val="20"/>
    </w:rPr>
  </w:style>
  <w:style w:type="character" w:styleId="FootnoteReference">
    <w:name w:val="footnote reference"/>
    <w:basedOn w:val="DefaultParagraphFont"/>
    <w:uiPriority w:val="99"/>
    <w:semiHidden/>
    <w:unhideWhenUsed/>
    <w:rsid w:val="00FB485E"/>
    <w:rPr>
      <w:vertAlign w:val="superscript"/>
    </w:rPr>
  </w:style>
  <w:style w:type="paragraph" w:styleId="Title">
    <w:name w:val="Title"/>
    <w:basedOn w:val="Normal"/>
    <w:next w:val="Normal"/>
    <w:link w:val="TitleChar"/>
    <w:uiPriority w:val="10"/>
    <w:qFormat/>
    <w:rsid w:val="008131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1ED"/>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sid w:val="00421535"/>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42153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02176">
      <w:bodyDiv w:val="1"/>
      <w:marLeft w:val="0"/>
      <w:marRight w:val="0"/>
      <w:marTop w:val="0"/>
      <w:marBottom w:val="0"/>
      <w:divBdr>
        <w:top w:val="none" w:sz="0" w:space="0" w:color="auto"/>
        <w:left w:val="none" w:sz="0" w:space="0" w:color="auto"/>
        <w:bottom w:val="none" w:sz="0" w:space="0" w:color="auto"/>
        <w:right w:val="none" w:sz="0" w:space="0" w:color="auto"/>
      </w:divBdr>
    </w:div>
    <w:div w:id="134568497">
      <w:bodyDiv w:val="1"/>
      <w:marLeft w:val="0"/>
      <w:marRight w:val="0"/>
      <w:marTop w:val="0"/>
      <w:marBottom w:val="0"/>
      <w:divBdr>
        <w:top w:val="none" w:sz="0" w:space="0" w:color="auto"/>
        <w:left w:val="none" w:sz="0" w:space="0" w:color="auto"/>
        <w:bottom w:val="none" w:sz="0" w:space="0" w:color="auto"/>
        <w:right w:val="none" w:sz="0" w:space="0" w:color="auto"/>
      </w:divBdr>
    </w:div>
    <w:div w:id="245723979">
      <w:bodyDiv w:val="1"/>
      <w:marLeft w:val="0"/>
      <w:marRight w:val="0"/>
      <w:marTop w:val="0"/>
      <w:marBottom w:val="0"/>
      <w:divBdr>
        <w:top w:val="none" w:sz="0" w:space="0" w:color="auto"/>
        <w:left w:val="none" w:sz="0" w:space="0" w:color="auto"/>
        <w:bottom w:val="none" w:sz="0" w:space="0" w:color="auto"/>
        <w:right w:val="none" w:sz="0" w:space="0" w:color="auto"/>
      </w:divBdr>
    </w:div>
    <w:div w:id="334117825">
      <w:bodyDiv w:val="1"/>
      <w:marLeft w:val="0"/>
      <w:marRight w:val="0"/>
      <w:marTop w:val="0"/>
      <w:marBottom w:val="0"/>
      <w:divBdr>
        <w:top w:val="none" w:sz="0" w:space="0" w:color="auto"/>
        <w:left w:val="none" w:sz="0" w:space="0" w:color="auto"/>
        <w:bottom w:val="none" w:sz="0" w:space="0" w:color="auto"/>
        <w:right w:val="none" w:sz="0" w:space="0" w:color="auto"/>
      </w:divBdr>
    </w:div>
    <w:div w:id="372312480">
      <w:bodyDiv w:val="1"/>
      <w:marLeft w:val="0"/>
      <w:marRight w:val="0"/>
      <w:marTop w:val="0"/>
      <w:marBottom w:val="0"/>
      <w:divBdr>
        <w:top w:val="none" w:sz="0" w:space="0" w:color="auto"/>
        <w:left w:val="none" w:sz="0" w:space="0" w:color="auto"/>
        <w:bottom w:val="none" w:sz="0" w:space="0" w:color="auto"/>
        <w:right w:val="none" w:sz="0" w:space="0" w:color="auto"/>
      </w:divBdr>
    </w:div>
    <w:div w:id="374546053">
      <w:bodyDiv w:val="1"/>
      <w:marLeft w:val="0"/>
      <w:marRight w:val="0"/>
      <w:marTop w:val="0"/>
      <w:marBottom w:val="0"/>
      <w:divBdr>
        <w:top w:val="none" w:sz="0" w:space="0" w:color="auto"/>
        <w:left w:val="none" w:sz="0" w:space="0" w:color="auto"/>
        <w:bottom w:val="none" w:sz="0" w:space="0" w:color="auto"/>
        <w:right w:val="none" w:sz="0" w:space="0" w:color="auto"/>
      </w:divBdr>
    </w:div>
    <w:div w:id="412818069">
      <w:bodyDiv w:val="1"/>
      <w:marLeft w:val="0"/>
      <w:marRight w:val="0"/>
      <w:marTop w:val="0"/>
      <w:marBottom w:val="0"/>
      <w:divBdr>
        <w:top w:val="none" w:sz="0" w:space="0" w:color="auto"/>
        <w:left w:val="none" w:sz="0" w:space="0" w:color="auto"/>
        <w:bottom w:val="none" w:sz="0" w:space="0" w:color="auto"/>
        <w:right w:val="none" w:sz="0" w:space="0" w:color="auto"/>
      </w:divBdr>
    </w:div>
    <w:div w:id="463275216">
      <w:bodyDiv w:val="1"/>
      <w:marLeft w:val="0"/>
      <w:marRight w:val="0"/>
      <w:marTop w:val="0"/>
      <w:marBottom w:val="0"/>
      <w:divBdr>
        <w:top w:val="none" w:sz="0" w:space="0" w:color="auto"/>
        <w:left w:val="none" w:sz="0" w:space="0" w:color="auto"/>
        <w:bottom w:val="none" w:sz="0" w:space="0" w:color="auto"/>
        <w:right w:val="none" w:sz="0" w:space="0" w:color="auto"/>
      </w:divBdr>
    </w:div>
    <w:div w:id="616643487">
      <w:bodyDiv w:val="1"/>
      <w:marLeft w:val="0"/>
      <w:marRight w:val="0"/>
      <w:marTop w:val="0"/>
      <w:marBottom w:val="0"/>
      <w:divBdr>
        <w:top w:val="none" w:sz="0" w:space="0" w:color="auto"/>
        <w:left w:val="none" w:sz="0" w:space="0" w:color="auto"/>
        <w:bottom w:val="none" w:sz="0" w:space="0" w:color="auto"/>
        <w:right w:val="none" w:sz="0" w:space="0" w:color="auto"/>
      </w:divBdr>
    </w:div>
    <w:div w:id="635528082">
      <w:bodyDiv w:val="1"/>
      <w:marLeft w:val="0"/>
      <w:marRight w:val="0"/>
      <w:marTop w:val="0"/>
      <w:marBottom w:val="0"/>
      <w:divBdr>
        <w:top w:val="none" w:sz="0" w:space="0" w:color="auto"/>
        <w:left w:val="none" w:sz="0" w:space="0" w:color="auto"/>
        <w:bottom w:val="none" w:sz="0" w:space="0" w:color="auto"/>
        <w:right w:val="none" w:sz="0" w:space="0" w:color="auto"/>
      </w:divBdr>
      <w:divsChild>
        <w:div w:id="156963235">
          <w:marLeft w:val="0"/>
          <w:marRight w:val="0"/>
          <w:marTop w:val="0"/>
          <w:marBottom w:val="0"/>
          <w:divBdr>
            <w:top w:val="none" w:sz="0" w:space="0" w:color="auto"/>
            <w:left w:val="none" w:sz="0" w:space="0" w:color="auto"/>
            <w:bottom w:val="none" w:sz="0" w:space="0" w:color="auto"/>
            <w:right w:val="none" w:sz="0" w:space="0" w:color="auto"/>
          </w:divBdr>
        </w:div>
      </w:divsChild>
    </w:div>
    <w:div w:id="716389746">
      <w:bodyDiv w:val="1"/>
      <w:marLeft w:val="0"/>
      <w:marRight w:val="0"/>
      <w:marTop w:val="0"/>
      <w:marBottom w:val="0"/>
      <w:divBdr>
        <w:top w:val="none" w:sz="0" w:space="0" w:color="auto"/>
        <w:left w:val="none" w:sz="0" w:space="0" w:color="auto"/>
        <w:bottom w:val="none" w:sz="0" w:space="0" w:color="auto"/>
        <w:right w:val="none" w:sz="0" w:space="0" w:color="auto"/>
      </w:divBdr>
    </w:div>
    <w:div w:id="802233024">
      <w:bodyDiv w:val="1"/>
      <w:marLeft w:val="0"/>
      <w:marRight w:val="0"/>
      <w:marTop w:val="0"/>
      <w:marBottom w:val="0"/>
      <w:divBdr>
        <w:top w:val="none" w:sz="0" w:space="0" w:color="auto"/>
        <w:left w:val="none" w:sz="0" w:space="0" w:color="auto"/>
        <w:bottom w:val="none" w:sz="0" w:space="0" w:color="auto"/>
        <w:right w:val="none" w:sz="0" w:space="0" w:color="auto"/>
      </w:divBdr>
    </w:div>
    <w:div w:id="1026835820">
      <w:bodyDiv w:val="1"/>
      <w:marLeft w:val="0"/>
      <w:marRight w:val="0"/>
      <w:marTop w:val="0"/>
      <w:marBottom w:val="0"/>
      <w:divBdr>
        <w:top w:val="none" w:sz="0" w:space="0" w:color="auto"/>
        <w:left w:val="none" w:sz="0" w:space="0" w:color="auto"/>
        <w:bottom w:val="none" w:sz="0" w:space="0" w:color="auto"/>
        <w:right w:val="none" w:sz="0" w:space="0" w:color="auto"/>
      </w:divBdr>
    </w:div>
    <w:div w:id="1254169522">
      <w:bodyDiv w:val="1"/>
      <w:marLeft w:val="0"/>
      <w:marRight w:val="0"/>
      <w:marTop w:val="0"/>
      <w:marBottom w:val="0"/>
      <w:divBdr>
        <w:top w:val="none" w:sz="0" w:space="0" w:color="auto"/>
        <w:left w:val="none" w:sz="0" w:space="0" w:color="auto"/>
        <w:bottom w:val="none" w:sz="0" w:space="0" w:color="auto"/>
        <w:right w:val="none" w:sz="0" w:space="0" w:color="auto"/>
      </w:divBdr>
    </w:div>
    <w:div w:id="1475683417">
      <w:bodyDiv w:val="1"/>
      <w:marLeft w:val="0"/>
      <w:marRight w:val="0"/>
      <w:marTop w:val="0"/>
      <w:marBottom w:val="0"/>
      <w:divBdr>
        <w:top w:val="none" w:sz="0" w:space="0" w:color="auto"/>
        <w:left w:val="none" w:sz="0" w:space="0" w:color="auto"/>
        <w:bottom w:val="none" w:sz="0" w:space="0" w:color="auto"/>
        <w:right w:val="none" w:sz="0" w:space="0" w:color="auto"/>
      </w:divBdr>
    </w:div>
    <w:div w:id="1498767725">
      <w:bodyDiv w:val="1"/>
      <w:marLeft w:val="0"/>
      <w:marRight w:val="0"/>
      <w:marTop w:val="0"/>
      <w:marBottom w:val="0"/>
      <w:divBdr>
        <w:top w:val="none" w:sz="0" w:space="0" w:color="auto"/>
        <w:left w:val="none" w:sz="0" w:space="0" w:color="auto"/>
        <w:bottom w:val="none" w:sz="0" w:space="0" w:color="auto"/>
        <w:right w:val="none" w:sz="0" w:space="0" w:color="auto"/>
      </w:divBdr>
    </w:div>
    <w:div w:id="1811244492">
      <w:bodyDiv w:val="1"/>
      <w:marLeft w:val="0"/>
      <w:marRight w:val="0"/>
      <w:marTop w:val="0"/>
      <w:marBottom w:val="0"/>
      <w:divBdr>
        <w:top w:val="none" w:sz="0" w:space="0" w:color="auto"/>
        <w:left w:val="none" w:sz="0" w:space="0" w:color="auto"/>
        <w:bottom w:val="none" w:sz="0" w:space="0" w:color="auto"/>
        <w:right w:val="none" w:sz="0" w:space="0" w:color="auto"/>
      </w:divBdr>
    </w:div>
    <w:div w:id="2048530285">
      <w:bodyDiv w:val="1"/>
      <w:marLeft w:val="0"/>
      <w:marRight w:val="0"/>
      <w:marTop w:val="0"/>
      <w:marBottom w:val="0"/>
      <w:divBdr>
        <w:top w:val="none" w:sz="0" w:space="0" w:color="auto"/>
        <w:left w:val="none" w:sz="0" w:space="0" w:color="auto"/>
        <w:bottom w:val="none" w:sz="0" w:space="0" w:color="auto"/>
        <w:right w:val="none" w:sz="0" w:space="0" w:color="auto"/>
      </w:divBdr>
      <w:divsChild>
        <w:div w:id="121466000">
          <w:marLeft w:val="0"/>
          <w:marRight w:val="0"/>
          <w:marTop w:val="0"/>
          <w:marBottom w:val="0"/>
          <w:divBdr>
            <w:top w:val="none" w:sz="0" w:space="0" w:color="auto"/>
            <w:left w:val="none" w:sz="0" w:space="0" w:color="auto"/>
            <w:bottom w:val="none" w:sz="0" w:space="0" w:color="auto"/>
            <w:right w:val="none" w:sz="0" w:space="0" w:color="auto"/>
          </w:divBdr>
        </w:div>
      </w:divsChild>
    </w:div>
    <w:div w:id="207291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16D84-B790-466A-B4B8-225593F7E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1467</Words>
  <Characters>8366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dc:creator>
  <cp:keywords/>
  <dc:description/>
  <cp:lastModifiedBy>Ciprian Sarca</cp:lastModifiedBy>
  <cp:revision>6</cp:revision>
  <cp:lastPrinted>2024-07-09T15:22:00Z</cp:lastPrinted>
  <dcterms:created xsi:type="dcterms:W3CDTF">2025-03-30T17:07:00Z</dcterms:created>
  <dcterms:modified xsi:type="dcterms:W3CDTF">2025-04-04T08:46:00Z</dcterms:modified>
</cp:coreProperties>
</file>