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54195" w14:textId="77777777" w:rsidR="00B56993" w:rsidRDefault="00B56993" w:rsidP="00FB485E">
      <w:pPr>
        <w:spacing w:after="0" w:line="240" w:lineRule="auto"/>
        <w:rPr>
          <w:rFonts w:cstheme="minorHAnsi"/>
          <w:b/>
          <w:color w:val="ED7D31" w:themeColor="accent2"/>
        </w:rPr>
      </w:pPr>
    </w:p>
    <w:p w14:paraId="2D75D032" w14:textId="08FFA7CE" w:rsidR="00FB485E" w:rsidRPr="001F3624" w:rsidRDefault="00FB485E" w:rsidP="00FB485E">
      <w:pPr>
        <w:spacing w:after="0" w:line="240" w:lineRule="auto"/>
        <w:rPr>
          <w:rFonts w:cstheme="minorHAnsi"/>
          <w:b/>
          <w:color w:val="ED7D31" w:themeColor="accent2"/>
        </w:rPr>
      </w:pPr>
      <w:r w:rsidRPr="001F3624">
        <w:rPr>
          <w:rFonts w:cstheme="minorHAnsi"/>
          <w:b/>
          <w:color w:val="ED7D31" w:themeColor="accent2"/>
        </w:rPr>
        <w:t>PROGRAMUL EDUCAȚIE ȘI OCUPARE 2021-2027</w:t>
      </w:r>
    </w:p>
    <w:p w14:paraId="1BC0C7DD" w14:textId="77777777" w:rsidR="00FB485E" w:rsidRPr="001F3624" w:rsidRDefault="00FB485E" w:rsidP="00FB485E">
      <w:pPr>
        <w:spacing w:after="0" w:line="240" w:lineRule="auto"/>
        <w:rPr>
          <w:rFonts w:cstheme="minorHAnsi"/>
          <w:sz w:val="20"/>
          <w:szCs w:val="20"/>
        </w:rPr>
      </w:pPr>
      <w:r w:rsidRPr="001F3624">
        <w:rPr>
          <w:rFonts w:cstheme="minorHAnsi"/>
          <w:sz w:val="20"/>
          <w:szCs w:val="20"/>
        </w:rPr>
        <w:t>Prioritate: P01 „Modernizarea instituțiilor pieței muncii“</w:t>
      </w:r>
    </w:p>
    <w:p w14:paraId="4DC01784" w14:textId="77777777" w:rsidR="00FB485E" w:rsidRPr="001F3624" w:rsidRDefault="00FB485E" w:rsidP="00FB485E">
      <w:pPr>
        <w:spacing w:after="0" w:line="240" w:lineRule="auto"/>
        <w:rPr>
          <w:rFonts w:cstheme="minorHAnsi"/>
          <w:sz w:val="20"/>
          <w:szCs w:val="20"/>
        </w:rPr>
      </w:pPr>
      <w:r w:rsidRPr="001F3624">
        <w:rPr>
          <w:rFonts w:cstheme="minorHAnsi"/>
          <w:sz w:val="20"/>
          <w:szCs w:val="20"/>
        </w:rPr>
        <w:t>Obiectiv specific: ESO4.2 „Modernizarea instituțiilor și a serviciilor pieței muncii pentru ca acestea să evalueze și să anticipeze necesitățile în materie de competențe, să asigure o asistență promptă și personalizată și să sprijine corelarea cererii și a ofertei, tranzițiile și mobilitatea pe piața muncii (FSE+)“</w:t>
      </w:r>
    </w:p>
    <w:p w14:paraId="5D52FF90" w14:textId="77777777" w:rsidR="00FB485E" w:rsidRPr="001F3624" w:rsidRDefault="00FB485E" w:rsidP="00FB485E">
      <w:pPr>
        <w:spacing w:after="0" w:line="240" w:lineRule="auto"/>
        <w:jc w:val="both"/>
        <w:rPr>
          <w:rFonts w:cstheme="minorHAnsi"/>
          <w:sz w:val="20"/>
          <w:szCs w:val="20"/>
        </w:rPr>
      </w:pPr>
      <w:r w:rsidRPr="001F3624">
        <w:rPr>
          <w:rFonts w:cstheme="minorHAnsi"/>
          <w:sz w:val="20"/>
          <w:szCs w:val="20"/>
        </w:rPr>
        <w:t>Cod proiect: PEO/48/PEO_P1/OP4/ESO4.2/PEO_A7/309187</w:t>
      </w:r>
    </w:p>
    <w:p w14:paraId="542324A2" w14:textId="77777777" w:rsidR="00FB485E" w:rsidRDefault="00FB485E" w:rsidP="00FB485E">
      <w:pPr>
        <w:spacing w:after="0" w:line="240" w:lineRule="auto"/>
        <w:jc w:val="both"/>
        <w:rPr>
          <w:rFonts w:cstheme="minorHAnsi"/>
        </w:rPr>
      </w:pPr>
      <w:r w:rsidRPr="001F3624">
        <w:rPr>
          <w:rFonts w:cstheme="minorHAnsi"/>
          <w:sz w:val="20"/>
          <w:szCs w:val="20"/>
        </w:rPr>
        <w:t xml:space="preserve">Titlu Proiect: </w:t>
      </w:r>
      <w:r w:rsidRPr="001F3624">
        <w:rPr>
          <w:rFonts w:cstheme="minorHAnsi"/>
        </w:rPr>
        <w:t>Dialog social și parteneriate pentru Ocupare și Formare</w:t>
      </w:r>
    </w:p>
    <w:p w14:paraId="71645C99" w14:textId="0756F6B5" w:rsidR="00853E5D" w:rsidRPr="00121F28" w:rsidRDefault="00853E5D" w:rsidP="00853E5D">
      <w:pPr>
        <w:spacing w:after="0" w:line="240" w:lineRule="auto"/>
      </w:pPr>
      <w:r w:rsidRPr="00121F28">
        <w:t>A 1-Acțiuni care vizează îmbunătățirea capacității și digitalizarea organizațiilor societății civile</w:t>
      </w:r>
    </w:p>
    <w:p w14:paraId="1E8488EC" w14:textId="77777777" w:rsidR="00EF5F1B" w:rsidRDefault="00EF5F1B" w:rsidP="00F817AF">
      <w:pPr>
        <w:spacing w:after="0" w:line="240" w:lineRule="auto"/>
        <w:jc w:val="right"/>
        <w:rPr>
          <w:rFonts w:cstheme="minorHAnsi"/>
          <w:b/>
          <w:bCs/>
        </w:rPr>
      </w:pPr>
    </w:p>
    <w:p w14:paraId="690B6A4C" w14:textId="77777777" w:rsidR="00EF5F1B" w:rsidRDefault="00EF5F1B" w:rsidP="00F817AF">
      <w:pPr>
        <w:spacing w:after="0" w:line="240" w:lineRule="auto"/>
        <w:jc w:val="right"/>
        <w:rPr>
          <w:rFonts w:cstheme="minorHAnsi"/>
          <w:b/>
          <w:bCs/>
        </w:rPr>
      </w:pPr>
    </w:p>
    <w:p w14:paraId="0DA90728" w14:textId="77777777" w:rsidR="00A45E0C" w:rsidRDefault="00A45E0C" w:rsidP="00A45E0C">
      <w:pPr>
        <w:spacing w:after="0" w:line="240" w:lineRule="auto"/>
        <w:jc w:val="both"/>
        <w:rPr>
          <w:rFonts w:cs="Calibri"/>
          <w:b/>
          <w:bCs/>
        </w:rPr>
      </w:pPr>
    </w:p>
    <w:p w14:paraId="7B9488FD" w14:textId="145B4D16" w:rsidR="00A45E0C" w:rsidRDefault="00A45E0C" w:rsidP="0081629C">
      <w:pPr>
        <w:spacing w:after="0" w:line="240" w:lineRule="auto"/>
        <w:jc w:val="center"/>
        <w:rPr>
          <w:rFonts w:cs="Calibri"/>
          <w:b/>
          <w:bCs/>
        </w:rPr>
      </w:pPr>
      <w:r w:rsidRPr="00A45E0C">
        <w:rPr>
          <w:rFonts w:cs="Calibri"/>
          <w:b/>
          <w:bCs/>
        </w:rPr>
        <w:t>Importanța Analizei SWOT pentru Organizațiile Societății Civile</w:t>
      </w:r>
    </w:p>
    <w:p w14:paraId="537A641A" w14:textId="77777777" w:rsidR="0081629C" w:rsidRPr="00A45E0C" w:rsidRDefault="0081629C" w:rsidP="0081629C">
      <w:pPr>
        <w:spacing w:after="0" w:line="240" w:lineRule="auto"/>
        <w:jc w:val="center"/>
        <w:rPr>
          <w:rFonts w:cs="Calibri"/>
          <w:b/>
          <w:bCs/>
        </w:rPr>
      </w:pPr>
    </w:p>
    <w:p w14:paraId="0C58423B" w14:textId="77777777" w:rsidR="00A45E0C" w:rsidRDefault="00A45E0C" w:rsidP="00A45E0C">
      <w:pPr>
        <w:spacing w:after="0" w:line="240" w:lineRule="auto"/>
        <w:jc w:val="both"/>
        <w:rPr>
          <w:rFonts w:cs="Calibri"/>
        </w:rPr>
      </w:pPr>
      <w:r w:rsidRPr="00A45E0C">
        <w:rPr>
          <w:rFonts w:cs="Calibri"/>
        </w:rPr>
        <w:t>Organizațiile Societății Civile (OSC) joacă un rol esențial în dezvoltarea socială, promovarea drepturilor omului și îmbunătățirea condițiilor de viață în comunități. Pentru a-și maximiza impactul și a-și asigura sustenabilitatea, este crucial ca acestea să utilizeze instrumente eficiente de planificare strategică, iar una dintre cele mai valoroase metode este analiza SWOT.</w:t>
      </w:r>
    </w:p>
    <w:p w14:paraId="76DCEC1F" w14:textId="77777777" w:rsidR="00A45E0C" w:rsidRPr="00A45E0C" w:rsidRDefault="00A45E0C" w:rsidP="00A45E0C">
      <w:pPr>
        <w:spacing w:after="0" w:line="240" w:lineRule="auto"/>
        <w:jc w:val="both"/>
        <w:rPr>
          <w:rFonts w:cs="Calibri"/>
        </w:rPr>
      </w:pPr>
    </w:p>
    <w:p w14:paraId="30F18FB3" w14:textId="77777777" w:rsidR="00A45E0C" w:rsidRPr="00A45E0C" w:rsidRDefault="00A45E0C" w:rsidP="00A45E0C">
      <w:pPr>
        <w:spacing w:after="0" w:line="240" w:lineRule="auto"/>
        <w:jc w:val="both"/>
        <w:rPr>
          <w:rFonts w:cs="Calibri"/>
          <w:b/>
          <w:bCs/>
        </w:rPr>
      </w:pPr>
      <w:r w:rsidRPr="00A45E0C">
        <w:rPr>
          <w:rFonts w:cs="Calibri"/>
          <w:b/>
          <w:bCs/>
        </w:rPr>
        <w:t>Ce este analiza SWOT?</w:t>
      </w:r>
    </w:p>
    <w:p w14:paraId="3E229DB2" w14:textId="77777777" w:rsidR="00A45E0C" w:rsidRPr="00A45E0C" w:rsidRDefault="00A45E0C" w:rsidP="00A45E0C">
      <w:pPr>
        <w:spacing w:after="0" w:line="240" w:lineRule="auto"/>
        <w:jc w:val="both"/>
        <w:rPr>
          <w:rFonts w:cs="Calibri"/>
        </w:rPr>
      </w:pPr>
      <w:r w:rsidRPr="00A45E0C">
        <w:rPr>
          <w:rFonts w:cs="Calibri"/>
        </w:rPr>
        <w:t>Analiza SWOT este o tehnică utilizată pentru a evalua punctele forte (Strengths), punctele slabe (Weaknesses), oportunitățile (Opportunities) și amenințările (Threats) unei organizații. Aceasta oferă o imagine clară asupra poziției actuale a OSC-ului și ajută la identificarea strategiilor optime pentru dezvoltare.</w:t>
      </w:r>
    </w:p>
    <w:p w14:paraId="51087D12" w14:textId="77777777" w:rsidR="00A45E0C" w:rsidRPr="00A45E0C" w:rsidRDefault="00A45E0C" w:rsidP="00A45E0C">
      <w:pPr>
        <w:spacing w:after="0" w:line="240" w:lineRule="auto"/>
        <w:jc w:val="both"/>
        <w:rPr>
          <w:rFonts w:cs="Calibri"/>
        </w:rPr>
      </w:pPr>
      <w:r w:rsidRPr="00A45E0C">
        <w:rPr>
          <w:rFonts w:cs="Calibri"/>
        </w:rPr>
        <w:t>•</w:t>
      </w:r>
      <w:r w:rsidRPr="00A45E0C">
        <w:rPr>
          <w:rFonts w:cs="Calibri"/>
        </w:rPr>
        <w:tab/>
        <w:t>Punctele forte (Strengths): Caracteristicile interne ale organizației care îi oferă un avantaj competitiv, cum ar fi expertiza echipei, infrastructura solidă, reputația pozitivă, accesul la resurse financiare stabile și rețeaua de parteneriate etc.</w:t>
      </w:r>
    </w:p>
    <w:p w14:paraId="4DB2F959" w14:textId="77777777" w:rsidR="00A45E0C" w:rsidRPr="00A45E0C" w:rsidRDefault="00A45E0C" w:rsidP="00A45E0C">
      <w:pPr>
        <w:spacing w:after="0" w:line="240" w:lineRule="auto"/>
        <w:jc w:val="both"/>
        <w:rPr>
          <w:rFonts w:cs="Calibri"/>
        </w:rPr>
      </w:pPr>
      <w:r w:rsidRPr="00A45E0C">
        <w:rPr>
          <w:rFonts w:cs="Calibri"/>
        </w:rPr>
        <w:t>•</w:t>
      </w:r>
      <w:r w:rsidRPr="00A45E0C">
        <w:rPr>
          <w:rFonts w:cs="Calibri"/>
        </w:rPr>
        <w:tab/>
        <w:t>Punctele slabe (Weaknesses): Aspecte interne care pot împiedica dezvoltarea organizației, cum ar fi lipsa de resurse financiare, competențele insuficiente ale echipei, dependența de un număr limitat de finanțatori sau vizibilitatea redusă etc.</w:t>
      </w:r>
    </w:p>
    <w:p w14:paraId="6614B50E" w14:textId="77777777" w:rsidR="00A45E0C" w:rsidRPr="00A45E0C" w:rsidRDefault="00A45E0C" w:rsidP="00A45E0C">
      <w:pPr>
        <w:spacing w:after="0" w:line="240" w:lineRule="auto"/>
        <w:jc w:val="both"/>
        <w:rPr>
          <w:rFonts w:cs="Calibri"/>
        </w:rPr>
      </w:pPr>
      <w:r w:rsidRPr="00A45E0C">
        <w:rPr>
          <w:rFonts w:cs="Calibri"/>
        </w:rPr>
        <w:t>•</w:t>
      </w:r>
      <w:r w:rsidRPr="00A45E0C">
        <w:rPr>
          <w:rFonts w:cs="Calibri"/>
        </w:rPr>
        <w:tab/>
        <w:t>Oportunitățile (Opportunities): Factori externi favorabili care pot sprijini dezvoltarea organizației, cum ar fi apariția unor noi surse de finanțare, tendințele sociale care susțin cauza OSC-ului, evoluțiile tehnologice care îmbunătățesc eficiența sau parteneriatele strategice etc.</w:t>
      </w:r>
    </w:p>
    <w:p w14:paraId="4372BF3D" w14:textId="77777777" w:rsidR="00A45E0C" w:rsidRDefault="00A45E0C" w:rsidP="00A45E0C">
      <w:pPr>
        <w:spacing w:after="0" w:line="240" w:lineRule="auto"/>
        <w:jc w:val="both"/>
        <w:rPr>
          <w:rFonts w:cs="Calibri"/>
        </w:rPr>
      </w:pPr>
      <w:r w:rsidRPr="00A45E0C">
        <w:rPr>
          <w:rFonts w:cs="Calibri"/>
        </w:rPr>
        <w:t>•</w:t>
      </w:r>
      <w:r w:rsidRPr="00A45E0C">
        <w:rPr>
          <w:rFonts w:cs="Calibri"/>
        </w:rPr>
        <w:tab/>
        <w:t>Amenințările (Threats): Factori externi care pot afecta negativ activitatea organizației, cum ar fi schimbările legislative nefavorabile, creșterea concurenței pentru resurse, instabilitatea economică sau fluctuațiile în sprijinul comunității etc.</w:t>
      </w:r>
    </w:p>
    <w:p w14:paraId="1BC45E37" w14:textId="77777777" w:rsidR="00A45E0C" w:rsidRPr="00A45E0C" w:rsidRDefault="00A45E0C" w:rsidP="00A45E0C">
      <w:pPr>
        <w:spacing w:after="0" w:line="240" w:lineRule="auto"/>
        <w:jc w:val="both"/>
        <w:rPr>
          <w:rFonts w:cs="Calibri"/>
        </w:rPr>
      </w:pPr>
    </w:p>
    <w:p w14:paraId="241F693E" w14:textId="50B858C8" w:rsidR="00A45E0C" w:rsidRPr="00A45E0C" w:rsidRDefault="00A45E0C" w:rsidP="00A45E0C">
      <w:pPr>
        <w:spacing w:after="0" w:line="240" w:lineRule="auto"/>
        <w:jc w:val="both"/>
        <w:rPr>
          <w:rFonts w:cs="Calibri"/>
          <w:b/>
          <w:bCs/>
        </w:rPr>
      </w:pPr>
      <w:r w:rsidRPr="00A45E0C">
        <w:rPr>
          <w:rFonts w:cs="Calibri"/>
          <w:b/>
          <w:bCs/>
        </w:rPr>
        <w:t xml:space="preserve">De ce folosim analiza SWOT? </w:t>
      </w:r>
      <w:r w:rsidR="00026352">
        <w:rPr>
          <w:rFonts w:cs="Calibri"/>
          <w:b/>
          <w:bCs/>
        </w:rPr>
        <w:t>B</w:t>
      </w:r>
      <w:r w:rsidRPr="00A45E0C">
        <w:rPr>
          <w:rFonts w:cs="Calibri"/>
          <w:b/>
          <w:bCs/>
        </w:rPr>
        <w:t>eneficiile utilizării acesteia pentru OSC.</w:t>
      </w:r>
    </w:p>
    <w:p w14:paraId="64154072" w14:textId="77777777" w:rsidR="00A45E0C" w:rsidRPr="00A45E0C" w:rsidRDefault="00A45E0C" w:rsidP="00A45E0C">
      <w:pPr>
        <w:spacing w:after="0" w:line="240" w:lineRule="auto"/>
        <w:jc w:val="both"/>
        <w:rPr>
          <w:rFonts w:cs="Calibri"/>
        </w:rPr>
      </w:pPr>
      <w:r w:rsidRPr="00A45E0C">
        <w:rPr>
          <w:rFonts w:cs="Calibri"/>
        </w:rPr>
        <w:t>Analiza SWOT oferă:</w:t>
      </w:r>
    </w:p>
    <w:p w14:paraId="1E5635D9" w14:textId="49E6EC50" w:rsidR="00A45E0C" w:rsidRPr="00026352" w:rsidRDefault="00A45E0C" w:rsidP="00026352">
      <w:pPr>
        <w:pStyle w:val="ListParagraph"/>
        <w:numPr>
          <w:ilvl w:val="0"/>
          <w:numId w:val="4"/>
        </w:numPr>
        <w:spacing w:after="0" w:line="240" w:lineRule="auto"/>
        <w:jc w:val="both"/>
        <w:rPr>
          <w:rFonts w:cs="Calibri"/>
        </w:rPr>
      </w:pPr>
      <w:r w:rsidRPr="00026352">
        <w:rPr>
          <w:rFonts w:cs="Calibri"/>
        </w:rPr>
        <w:t>Claritate strategică: ajută organizațiile să își definească obiectivele și să înțeleagă contextul în care operează.</w:t>
      </w:r>
    </w:p>
    <w:p w14:paraId="6C5C96E7" w14:textId="18BC1258" w:rsidR="00A45E0C" w:rsidRPr="00026352" w:rsidRDefault="00A45E0C" w:rsidP="00026352">
      <w:pPr>
        <w:pStyle w:val="ListParagraph"/>
        <w:numPr>
          <w:ilvl w:val="0"/>
          <w:numId w:val="4"/>
        </w:numPr>
        <w:spacing w:after="0" w:line="240" w:lineRule="auto"/>
        <w:jc w:val="both"/>
        <w:rPr>
          <w:rFonts w:cs="Calibri"/>
        </w:rPr>
      </w:pPr>
      <w:r w:rsidRPr="00026352">
        <w:rPr>
          <w:rFonts w:cs="Calibri"/>
        </w:rPr>
        <w:t>Identificarea punctelor forte: permite evidențierea resurselor interne și avantajelor competitive, cum ar fi expertiza echipei, rețeaua de parteneriate sau sprijinul comunității.</w:t>
      </w:r>
    </w:p>
    <w:p w14:paraId="37160A4A" w14:textId="60ECEA36" w:rsidR="00A45E0C" w:rsidRPr="00026352" w:rsidRDefault="00A45E0C" w:rsidP="00026352">
      <w:pPr>
        <w:pStyle w:val="ListParagraph"/>
        <w:numPr>
          <w:ilvl w:val="0"/>
          <w:numId w:val="4"/>
        </w:numPr>
        <w:spacing w:after="0" w:line="240" w:lineRule="auto"/>
        <w:jc w:val="both"/>
        <w:rPr>
          <w:rFonts w:cs="Calibri"/>
        </w:rPr>
      </w:pPr>
      <w:r w:rsidRPr="00026352">
        <w:rPr>
          <w:rFonts w:cs="Calibri"/>
        </w:rPr>
        <w:t>Conștientizarea punctelor slabe: oferă posibilitatea de a remedia deficiențele interne, cum ar fi lipsa de finanțare, capacitățile reduse sau lipsa de vizibilitate.</w:t>
      </w:r>
    </w:p>
    <w:p w14:paraId="639581C9" w14:textId="7E421F09" w:rsidR="00A45E0C" w:rsidRPr="00026352" w:rsidRDefault="00A45E0C" w:rsidP="00026352">
      <w:pPr>
        <w:pStyle w:val="ListParagraph"/>
        <w:numPr>
          <w:ilvl w:val="0"/>
          <w:numId w:val="4"/>
        </w:numPr>
        <w:spacing w:after="0" w:line="240" w:lineRule="auto"/>
        <w:jc w:val="both"/>
        <w:rPr>
          <w:rFonts w:cs="Calibri"/>
        </w:rPr>
      </w:pPr>
      <w:r w:rsidRPr="00026352">
        <w:rPr>
          <w:rFonts w:cs="Calibri"/>
        </w:rPr>
        <w:t>Valorificarea oportunităților: ajută la identificarea oportunităților externe, cum ar fi noi surse de finanțare, parteneriate sau tendințe favorabile în domeniu.</w:t>
      </w:r>
    </w:p>
    <w:p w14:paraId="79A0F21A" w14:textId="09FA4E1A" w:rsidR="00A45E0C" w:rsidRPr="00026352" w:rsidRDefault="00A45E0C" w:rsidP="00026352">
      <w:pPr>
        <w:pStyle w:val="ListParagraph"/>
        <w:numPr>
          <w:ilvl w:val="0"/>
          <w:numId w:val="4"/>
        </w:numPr>
        <w:spacing w:after="0" w:line="240" w:lineRule="auto"/>
        <w:jc w:val="both"/>
        <w:rPr>
          <w:rFonts w:cs="Calibri"/>
        </w:rPr>
      </w:pPr>
      <w:r w:rsidRPr="00026352">
        <w:rPr>
          <w:rFonts w:cs="Calibri"/>
        </w:rPr>
        <w:t>Anticiparea amenințărilor: permite recunoașterea factorilor externi care ar putea afecta negativ organizația, precum schimbările legislative, concurența sau instabilitatea economică.</w:t>
      </w:r>
    </w:p>
    <w:p w14:paraId="2F908E91" w14:textId="77777777" w:rsidR="00A45E0C" w:rsidRPr="00A45E0C" w:rsidRDefault="00A45E0C" w:rsidP="00A45E0C">
      <w:pPr>
        <w:spacing w:after="0" w:line="240" w:lineRule="auto"/>
        <w:jc w:val="both"/>
        <w:rPr>
          <w:rFonts w:cs="Calibri"/>
        </w:rPr>
      </w:pPr>
    </w:p>
    <w:p w14:paraId="2E74D9D7" w14:textId="77777777" w:rsidR="00A45E0C" w:rsidRPr="00A45E0C" w:rsidRDefault="00A45E0C" w:rsidP="00A45E0C">
      <w:pPr>
        <w:spacing w:after="0" w:line="240" w:lineRule="auto"/>
        <w:jc w:val="both"/>
        <w:rPr>
          <w:rFonts w:cs="Calibri"/>
          <w:b/>
          <w:bCs/>
        </w:rPr>
      </w:pPr>
      <w:r w:rsidRPr="00A45E0C">
        <w:rPr>
          <w:rFonts w:cs="Calibri"/>
          <w:b/>
          <w:bCs/>
        </w:rPr>
        <w:lastRenderedPageBreak/>
        <w:t>Cum se realizează o analiză SWOT?</w:t>
      </w:r>
    </w:p>
    <w:p w14:paraId="53D5D376" w14:textId="77777777" w:rsidR="00A45E0C" w:rsidRPr="00026352" w:rsidRDefault="00A45E0C" w:rsidP="00026352">
      <w:pPr>
        <w:pStyle w:val="ListParagraph"/>
        <w:numPr>
          <w:ilvl w:val="0"/>
          <w:numId w:val="3"/>
        </w:numPr>
        <w:spacing w:after="0" w:line="240" w:lineRule="auto"/>
        <w:jc w:val="both"/>
        <w:rPr>
          <w:rFonts w:cs="Calibri"/>
        </w:rPr>
      </w:pPr>
      <w:r w:rsidRPr="00026352">
        <w:rPr>
          <w:rFonts w:cs="Calibri"/>
        </w:rPr>
        <w:t>Pentru a realiza o analiză SWOT eficientă, OSC-urile ar trebui să urmeze acești pași:</w:t>
      </w:r>
    </w:p>
    <w:p w14:paraId="4D1E4536" w14:textId="2CC97116" w:rsidR="00A45E0C" w:rsidRPr="00026352" w:rsidRDefault="00A45E0C" w:rsidP="00026352">
      <w:pPr>
        <w:pStyle w:val="ListParagraph"/>
        <w:numPr>
          <w:ilvl w:val="0"/>
          <w:numId w:val="3"/>
        </w:numPr>
        <w:spacing w:after="0" w:line="240" w:lineRule="auto"/>
        <w:jc w:val="both"/>
        <w:rPr>
          <w:rFonts w:cs="Calibri"/>
        </w:rPr>
      </w:pPr>
      <w:r w:rsidRPr="00026352">
        <w:rPr>
          <w:rFonts w:cs="Calibri"/>
        </w:rPr>
        <w:t>Implicarea echipei și a părților interesate: colectarea de perspective din partea membrilor organizației, beneficiarilor și partenerilor. Acest lucru asigură o imagine completă și realistă asupra situației organizației.</w:t>
      </w:r>
    </w:p>
    <w:p w14:paraId="1D51FF50" w14:textId="4998B848" w:rsidR="00A45E0C" w:rsidRPr="00026352" w:rsidRDefault="00A45E0C" w:rsidP="00026352">
      <w:pPr>
        <w:pStyle w:val="ListParagraph"/>
        <w:numPr>
          <w:ilvl w:val="0"/>
          <w:numId w:val="3"/>
        </w:numPr>
        <w:spacing w:after="0" w:line="240" w:lineRule="auto"/>
        <w:jc w:val="both"/>
        <w:rPr>
          <w:rFonts w:cs="Calibri"/>
        </w:rPr>
      </w:pPr>
      <w:r w:rsidRPr="00026352">
        <w:rPr>
          <w:rFonts w:cs="Calibri"/>
        </w:rPr>
        <w:t>Colectarea și analiza datelor: evaluarea performanței organizației și a contextului extern prin sondaje, interviuri, focus grupuri, analiza datelor financiare și alte metode de cercetare. Este important ca această etapă să fie bazată pe fapte concrete și nu doar pe percepții subiective.</w:t>
      </w:r>
    </w:p>
    <w:p w14:paraId="6DBC599B" w14:textId="1FC3DBEA" w:rsidR="00A45E0C" w:rsidRPr="00026352" w:rsidRDefault="00A45E0C" w:rsidP="00026352">
      <w:pPr>
        <w:pStyle w:val="ListParagraph"/>
        <w:numPr>
          <w:ilvl w:val="0"/>
          <w:numId w:val="3"/>
        </w:numPr>
        <w:spacing w:after="0" w:line="240" w:lineRule="auto"/>
        <w:jc w:val="both"/>
        <w:rPr>
          <w:rFonts w:cs="Calibri"/>
        </w:rPr>
      </w:pPr>
      <w:r w:rsidRPr="00026352">
        <w:rPr>
          <w:rFonts w:cs="Calibri"/>
        </w:rPr>
        <w:t>Construirea matricei SWOT: gruparea informațiilor în cele patru categorii (puncte forte, puncte slabe, oportunități și amenințări). Acest proces ajută la organizarea și prioritizarea datelor pentru o analiză mai clară și eficientă.</w:t>
      </w:r>
    </w:p>
    <w:p w14:paraId="6DC67C54" w14:textId="158A68AE" w:rsidR="00A45E0C" w:rsidRPr="00026352" w:rsidRDefault="00A45E0C" w:rsidP="00026352">
      <w:pPr>
        <w:pStyle w:val="ListParagraph"/>
        <w:numPr>
          <w:ilvl w:val="0"/>
          <w:numId w:val="3"/>
        </w:numPr>
        <w:spacing w:after="0" w:line="240" w:lineRule="auto"/>
        <w:jc w:val="both"/>
        <w:rPr>
          <w:rFonts w:cs="Calibri"/>
        </w:rPr>
      </w:pPr>
      <w:r w:rsidRPr="00026352">
        <w:rPr>
          <w:rFonts w:cs="Calibri"/>
        </w:rPr>
        <w:t>Interpretarea rezultatelor: analizarea conexiunilor dintre elementele SWOT pentru a identifica cele mai relevante direcții de acțiune. De exemplu, OSC-ul poate decide să valorifice punctele forte pentru a profita de oportunitățile existente sau să dezvolte strategii pentru a minimiza amenințările.</w:t>
      </w:r>
    </w:p>
    <w:p w14:paraId="729C8771" w14:textId="56C3E9A8" w:rsidR="00A45E0C" w:rsidRPr="00026352" w:rsidRDefault="00A45E0C" w:rsidP="00026352">
      <w:pPr>
        <w:pStyle w:val="ListParagraph"/>
        <w:numPr>
          <w:ilvl w:val="0"/>
          <w:numId w:val="3"/>
        </w:numPr>
        <w:spacing w:after="0" w:line="240" w:lineRule="auto"/>
        <w:jc w:val="both"/>
        <w:rPr>
          <w:rFonts w:cs="Calibri"/>
        </w:rPr>
      </w:pPr>
      <w:r w:rsidRPr="00026352">
        <w:rPr>
          <w:rFonts w:cs="Calibri"/>
        </w:rPr>
        <w:t>Dezvoltarea strategiilor: elaborarea unui plan de acțiune concret bazat pe analiza SWOT. Acest plan ar trebui să includă măsuri specifice, termene limită, resurse necesare și responsabili pentru implementare.</w:t>
      </w:r>
    </w:p>
    <w:p w14:paraId="7A04EDA9" w14:textId="699DF7FA" w:rsidR="00A45E0C" w:rsidRPr="00026352" w:rsidRDefault="00A45E0C" w:rsidP="00026352">
      <w:pPr>
        <w:pStyle w:val="ListParagraph"/>
        <w:numPr>
          <w:ilvl w:val="0"/>
          <w:numId w:val="3"/>
        </w:numPr>
        <w:spacing w:after="0" w:line="240" w:lineRule="auto"/>
        <w:jc w:val="both"/>
        <w:rPr>
          <w:rFonts w:cs="Calibri"/>
        </w:rPr>
      </w:pPr>
      <w:r w:rsidRPr="00026352">
        <w:rPr>
          <w:rFonts w:cs="Calibri"/>
        </w:rPr>
        <w:t>Monitorizare și ajustare: analiza SWOT nu este un proces static. Organizațiile trebuie să evalueze periodic progresul, să ajusteze strategia în funcție de schimbările din mediul intern și extern și să îmbunătățească continuu procesele.</w:t>
      </w:r>
    </w:p>
    <w:p w14:paraId="38DEECD2" w14:textId="2A1E7717" w:rsidR="00A45E0C" w:rsidRDefault="00A45E0C" w:rsidP="00A45E0C">
      <w:pPr>
        <w:spacing w:after="0" w:line="240" w:lineRule="auto"/>
        <w:jc w:val="both"/>
        <w:rPr>
          <w:rFonts w:cs="Calibri"/>
        </w:rPr>
      </w:pPr>
      <w:r w:rsidRPr="00A45E0C">
        <w:rPr>
          <w:rFonts w:cs="Calibri"/>
        </w:rPr>
        <w:t>Analiza SWOT este un instrument esențial pentru Organizațiile Societății Civile, oferindu-le o imagine clară asupra realității în care activează și ajutându-le să-și dezvolte strategii eficiente. Printr-o abordare structurată și realistă, OSC-urile pot maximiza impactul activităților lor și pot asigura o creștere sustenabilă, contribuind astfel la schimbări pozitive în societate.</w:t>
      </w:r>
    </w:p>
    <w:p w14:paraId="58E9E5FB" w14:textId="77777777" w:rsidR="00026352" w:rsidRDefault="00026352" w:rsidP="00A45E0C">
      <w:pPr>
        <w:spacing w:after="0" w:line="240" w:lineRule="auto"/>
        <w:jc w:val="both"/>
        <w:rPr>
          <w:rFonts w:cs="Calibri"/>
        </w:rPr>
      </w:pPr>
    </w:p>
    <w:p w14:paraId="04F9F0BB" w14:textId="77777777" w:rsidR="00026352" w:rsidRDefault="00026352" w:rsidP="00026352">
      <w:pPr>
        <w:spacing w:after="0" w:line="240" w:lineRule="auto"/>
        <w:jc w:val="both"/>
        <w:rPr>
          <w:rFonts w:cs="Calibri"/>
        </w:rPr>
      </w:pPr>
      <w:r>
        <w:rPr>
          <w:rFonts w:cs="Calibri"/>
        </w:rPr>
        <w:t>Vom atinge câteva posibile limitări ale unei analize SWOT:</w:t>
      </w:r>
    </w:p>
    <w:p w14:paraId="54AF24E4" w14:textId="1B40EC1A" w:rsidR="00026352" w:rsidRPr="00026352" w:rsidRDefault="00026352" w:rsidP="00026352">
      <w:pPr>
        <w:pStyle w:val="ListParagraph"/>
        <w:numPr>
          <w:ilvl w:val="0"/>
          <w:numId w:val="2"/>
        </w:numPr>
        <w:spacing w:before="120" w:after="120" w:line="240" w:lineRule="auto"/>
        <w:jc w:val="both"/>
        <w:rPr>
          <w:rFonts w:cs="Calibri"/>
        </w:rPr>
      </w:pPr>
      <w:r w:rsidRPr="00026352">
        <w:rPr>
          <w:rFonts w:cs="Calibri"/>
        </w:rPr>
        <w:t>Uneori, analiza SWOT poate fi influențată de opiniile personale ale celor care o efectuează, având un caracter ușor subiectiv.</w:t>
      </w:r>
    </w:p>
    <w:p w14:paraId="2111B9F2" w14:textId="24AE5AC4" w:rsidR="00026352" w:rsidRPr="00026352" w:rsidRDefault="00026352" w:rsidP="00026352">
      <w:pPr>
        <w:pStyle w:val="ListParagraph"/>
        <w:numPr>
          <w:ilvl w:val="0"/>
          <w:numId w:val="2"/>
        </w:numPr>
        <w:spacing w:before="120" w:after="120" w:line="240" w:lineRule="auto"/>
        <w:jc w:val="both"/>
        <w:rPr>
          <w:rFonts w:cs="Calibri"/>
        </w:rPr>
      </w:pPr>
      <w:r w:rsidRPr="00026352">
        <w:rPr>
          <w:rFonts w:cs="Calibri"/>
        </w:rPr>
        <w:t>Într-un context de schimbări rapide (ex. economii instabile, crize politice), analiza SWOT poate deveni depășită sau poate să nu captureze toate aspectele relevante.</w:t>
      </w:r>
    </w:p>
    <w:p w14:paraId="557339F6" w14:textId="4F6C30E9" w:rsidR="00026352" w:rsidRPr="00026352" w:rsidRDefault="00026352" w:rsidP="00026352">
      <w:pPr>
        <w:pStyle w:val="ListParagraph"/>
        <w:numPr>
          <w:ilvl w:val="0"/>
          <w:numId w:val="2"/>
        </w:numPr>
        <w:spacing w:before="120" w:after="120" w:line="240" w:lineRule="auto"/>
        <w:jc w:val="both"/>
        <w:rPr>
          <w:rFonts w:cs="Calibri"/>
        </w:rPr>
      </w:pPr>
      <w:r w:rsidRPr="00026352">
        <w:rPr>
          <w:rFonts w:cs="Calibri"/>
        </w:rPr>
        <w:t>Unele OSC-uri, în special cele mici, pot să nu aibă resursele necesare pentru a implementa analiza SWOT corect sau pentru a răspunde eficient la concluziile acesteia.</w:t>
      </w:r>
    </w:p>
    <w:p w14:paraId="66F8E921" w14:textId="4DF6F7E9" w:rsidR="00026352" w:rsidRPr="00A45E0C" w:rsidRDefault="00026352" w:rsidP="00026352">
      <w:pPr>
        <w:spacing w:after="0" w:line="240" w:lineRule="auto"/>
        <w:jc w:val="both"/>
        <w:rPr>
          <w:rFonts w:cs="Calibri"/>
        </w:rPr>
      </w:pPr>
      <w:r w:rsidRPr="00026352">
        <w:rPr>
          <w:rFonts w:cs="Calibri"/>
        </w:rPr>
        <w:t>În încheiere, sublini</w:t>
      </w:r>
      <w:r>
        <w:rPr>
          <w:rFonts w:cs="Calibri"/>
        </w:rPr>
        <w:t>em</w:t>
      </w:r>
      <w:r w:rsidRPr="00026352">
        <w:rPr>
          <w:rFonts w:cs="Calibri"/>
        </w:rPr>
        <w:t xml:space="preserve"> importanța continuării utilizării analizei SWOT și mențion</w:t>
      </w:r>
      <w:r>
        <w:rPr>
          <w:rFonts w:cs="Calibri"/>
        </w:rPr>
        <w:t>ăm</w:t>
      </w:r>
      <w:r w:rsidRPr="00026352">
        <w:rPr>
          <w:rFonts w:cs="Calibri"/>
        </w:rPr>
        <w:t xml:space="preserve"> faptul că aceasta este un instrument esențial pentru adaptabilitatea și succesul organizațiilor societății civile într-un mediu complex și schimbător. De asemenea, OSC-urile </w:t>
      </w:r>
      <w:r>
        <w:rPr>
          <w:rFonts w:cs="Calibri"/>
        </w:rPr>
        <w:t xml:space="preserve">trebuie </w:t>
      </w:r>
      <w:r w:rsidRPr="00026352">
        <w:rPr>
          <w:rFonts w:cs="Calibri"/>
        </w:rPr>
        <w:t>să integreze această analiză în procesul lor de planificare strategică pentru a crește eficiența și impactul lor</w:t>
      </w:r>
      <w:r>
        <w:rPr>
          <w:rFonts w:cs="Calibri"/>
        </w:rPr>
        <w:t>, chiar dacă analiza are câteva potențiale limitări, menționate mai sus</w:t>
      </w:r>
      <w:r w:rsidRPr="00026352">
        <w:rPr>
          <w:rFonts w:cs="Calibri"/>
        </w:rPr>
        <w:t>.</w:t>
      </w:r>
    </w:p>
    <w:p w14:paraId="0B4B26CA" w14:textId="5B2FF7F3" w:rsidR="00D26A73" w:rsidRDefault="00D26A73" w:rsidP="00A45E0C">
      <w:pPr>
        <w:spacing w:after="0" w:line="240" w:lineRule="auto"/>
        <w:jc w:val="both"/>
        <w:rPr>
          <w:rFonts w:cs="Calibri"/>
          <w:b/>
          <w:bCs/>
          <w:i/>
          <w:iCs/>
        </w:rPr>
      </w:pPr>
    </w:p>
    <w:p w14:paraId="77B19328" w14:textId="77777777" w:rsidR="0081629C" w:rsidRPr="00ED1CDE" w:rsidRDefault="0081629C" w:rsidP="0081629C">
      <w:pPr>
        <w:spacing w:before="120" w:after="120" w:line="276" w:lineRule="auto"/>
        <w:rPr>
          <w:rFonts w:cs="Arial"/>
          <w:szCs w:val="24"/>
        </w:rPr>
      </w:pPr>
      <w:r w:rsidRPr="00EF5F1B">
        <w:rPr>
          <w:rFonts w:cstheme="minorHAnsi"/>
        </w:rPr>
        <w:t>Referent îmbunătățire a managementului organizațional specific OSC S</w:t>
      </w:r>
    </w:p>
    <w:p w14:paraId="7E30CE1B" w14:textId="32735F3A" w:rsidR="00D26A73" w:rsidRDefault="0081629C" w:rsidP="00FB485E">
      <w:pPr>
        <w:spacing w:after="0" w:line="240" w:lineRule="auto"/>
        <w:jc w:val="both"/>
        <w:rPr>
          <w:rFonts w:cs="Calibri"/>
          <w:b/>
          <w:bCs/>
          <w:i/>
          <w:iCs/>
        </w:rPr>
      </w:pPr>
      <w:r>
        <w:rPr>
          <w:rFonts w:cs="Calibri"/>
          <w:b/>
          <w:bCs/>
          <w:i/>
          <w:iCs/>
        </w:rPr>
        <w:t>Martie 2025</w:t>
      </w:r>
    </w:p>
    <w:p w14:paraId="546DAF87" w14:textId="77777777" w:rsidR="0081629C" w:rsidRDefault="0081629C" w:rsidP="00FB485E">
      <w:pPr>
        <w:spacing w:after="0" w:line="240" w:lineRule="auto"/>
        <w:jc w:val="both"/>
        <w:rPr>
          <w:rFonts w:cs="Calibri"/>
          <w:b/>
          <w:bCs/>
          <w:i/>
          <w:iCs/>
        </w:rPr>
      </w:pPr>
    </w:p>
    <w:p w14:paraId="38678DA4" w14:textId="77777777" w:rsidR="0081629C" w:rsidRDefault="0081629C" w:rsidP="00FB485E">
      <w:pPr>
        <w:spacing w:after="0" w:line="240" w:lineRule="auto"/>
        <w:jc w:val="both"/>
        <w:rPr>
          <w:rFonts w:cs="Calibri"/>
          <w:b/>
          <w:bCs/>
          <w:i/>
          <w:iCs/>
        </w:rPr>
      </w:pPr>
    </w:p>
    <w:p w14:paraId="47C18F93" w14:textId="77777777" w:rsidR="00D26A73" w:rsidRDefault="00D26A73" w:rsidP="00FB485E">
      <w:pPr>
        <w:spacing w:after="0" w:line="240" w:lineRule="auto"/>
        <w:jc w:val="both"/>
        <w:rPr>
          <w:rFonts w:cs="Calibri"/>
          <w:b/>
          <w:bCs/>
          <w:i/>
          <w:iCs/>
        </w:rPr>
      </w:pPr>
    </w:p>
    <w:p w14:paraId="158B5F7B" w14:textId="77777777" w:rsidR="00D26A73" w:rsidRDefault="00D26A73" w:rsidP="00FB485E">
      <w:pPr>
        <w:spacing w:after="0" w:line="240" w:lineRule="auto"/>
        <w:jc w:val="both"/>
        <w:rPr>
          <w:rFonts w:cstheme="minorHAnsi"/>
          <w:bCs/>
          <w:color w:val="FF0000"/>
          <w:sz w:val="8"/>
          <w:szCs w:val="8"/>
        </w:rPr>
      </w:pPr>
    </w:p>
    <w:p w14:paraId="54BF5956" w14:textId="77777777" w:rsidR="00245B72" w:rsidRDefault="00245B72" w:rsidP="00FB485E">
      <w:pPr>
        <w:spacing w:after="0" w:line="240" w:lineRule="auto"/>
        <w:jc w:val="both"/>
        <w:rPr>
          <w:rFonts w:cstheme="minorHAnsi"/>
          <w:bCs/>
          <w:color w:val="FF0000"/>
          <w:sz w:val="8"/>
          <w:szCs w:val="8"/>
        </w:rPr>
      </w:pPr>
    </w:p>
    <w:p w14:paraId="7A5B4D74" w14:textId="77777777" w:rsidR="00245B72" w:rsidRPr="00F04FD4" w:rsidRDefault="00245B72" w:rsidP="00FB485E">
      <w:pPr>
        <w:spacing w:after="0" w:line="240" w:lineRule="auto"/>
        <w:jc w:val="both"/>
        <w:rPr>
          <w:rFonts w:cstheme="minorHAnsi"/>
          <w:bCs/>
          <w:color w:val="FF0000"/>
          <w:sz w:val="8"/>
          <w:szCs w:val="8"/>
        </w:rPr>
      </w:pPr>
    </w:p>
    <w:p w14:paraId="7F3A8B6D" w14:textId="6BE51045" w:rsidR="00D01B5D" w:rsidRPr="00F04FD4" w:rsidRDefault="00D01B5D" w:rsidP="00F04FD4">
      <w:pPr>
        <w:rPr>
          <w:sz w:val="2"/>
          <w:szCs w:val="2"/>
        </w:rPr>
      </w:pPr>
    </w:p>
    <w:sectPr w:rsidR="00D01B5D" w:rsidRPr="00F04FD4" w:rsidSect="00CB59F9">
      <w:headerReference w:type="default" r:id="rId8"/>
      <w:footerReference w:type="default" r:id="rId9"/>
      <w:pgSz w:w="11906" w:h="16838" w:code="9"/>
      <w:pgMar w:top="1871" w:right="1418" w:bottom="1418" w:left="1418"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876CE" w14:textId="77777777" w:rsidR="00CB0669" w:rsidRDefault="00CB0669" w:rsidP="00D01B5D">
      <w:pPr>
        <w:spacing w:after="0" w:line="240" w:lineRule="auto"/>
      </w:pPr>
      <w:r>
        <w:separator/>
      </w:r>
    </w:p>
  </w:endnote>
  <w:endnote w:type="continuationSeparator" w:id="0">
    <w:p w14:paraId="4B407BA1" w14:textId="77777777" w:rsidR="00CB0669" w:rsidRDefault="00CB0669" w:rsidP="00D01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1641"/>
    </w:tblGrid>
    <w:tr w:rsidR="00D01B5D" w:rsidRPr="004C3C86" w14:paraId="426E871C" w14:textId="77777777" w:rsidTr="00902375">
      <w:tc>
        <w:tcPr>
          <w:tcW w:w="7655" w:type="dxa"/>
        </w:tcPr>
        <w:p w14:paraId="7A6EF4E5" w14:textId="79E3B70F" w:rsidR="00D01B5D" w:rsidRPr="004C3C86" w:rsidRDefault="00D01B5D" w:rsidP="00D01B5D">
          <w:pPr>
            <w:pStyle w:val="Footer"/>
          </w:pPr>
          <w:r w:rsidRPr="004C3C86">
            <w:t>Contract</w:t>
          </w:r>
          <w:r w:rsidR="00234435" w:rsidRPr="004C3C86">
            <w:t xml:space="preserve"> </w:t>
          </w:r>
          <w:r w:rsidR="00343F1D" w:rsidRPr="00343F1D">
            <w:t>PEO/48/PEO_P1/OP4/ESO4.2/PEO_A7/309187</w:t>
          </w:r>
        </w:p>
        <w:p w14:paraId="0DB5E3A4" w14:textId="1FC4C178" w:rsidR="00D01B5D" w:rsidRPr="004C3C86" w:rsidRDefault="008B1CC8" w:rsidP="00D01B5D">
          <w:pPr>
            <w:pStyle w:val="Footer"/>
          </w:pPr>
          <w:r w:rsidRPr="004C3C86">
            <w:t>Proiect</w:t>
          </w:r>
          <w:r w:rsidRPr="004C3C86">
            <w:rPr>
              <w:b/>
              <w:bCs/>
            </w:rPr>
            <w:t xml:space="preserve"> c</w:t>
          </w:r>
          <w:r w:rsidR="00C3616A" w:rsidRPr="004C3C86">
            <w:rPr>
              <w:b/>
              <w:bCs/>
            </w:rPr>
            <w:t>ofinanțat de Uniunea Europeană</w:t>
          </w:r>
          <w:r w:rsidR="00C3616A" w:rsidRPr="004C3C86">
            <w:t xml:space="preserve"> </w:t>
          </w:r>
          <w:r w:rsidR="00D01B5D" w:rsidRPr="004C3C86">
            <w:t>prin</w:t>
          </w:r>
        </w:p>
        <w:p w14:paraId="15EAB42B" w14:textId="6A3AF0C1" w:rsidR="00D01B5D" w:rsidRPr="004C3C86" w:rsidRDefault="00C3616A" w:rsidP="00D01B5D">
          <w:pPr>
            <w:pStyle w:val="Footer"/>
          </w:pPr>
          <w:r w:rsidRPr="004C3C86">
            <w:t>PROGRAMUL EDUCAȚIE ȘI OCUPARE 2021-2027</w:t>
          </w:r>
        </w:p>
      </w:tc>
      <w:tc>
        <w:tcPr>
          <w:tcW w:w="1641" w:type="dxa"/>
        </w:tcPr>
        <w:p w14:paraId="680E81D4" w14:textId="77777777" w:rsidR="00D01B5D" w:rsidRPr="004C3C86" w:rsidRDefault="00D01B5D" w:rsidP="00D01B5D">
          <w:pPr>
            <w:pStyle w:val="Footer"/>
            <w:jc w:val="right"/>
          </w:pPr>
          <w:r w:rsidRPr="004C3C86">
            <w:t xml:space="preserve">Pagina: </w:t>
          </w:r>
          <w:r w:rsidR="00927164" w:rsidRPr="004C3C86">
            <w:fldChar w:fldCharType="begin"/>
          </w:r>
          <w:r w:rsidRPr="004C3C86">
            <w:instrText xml:space="preserve"> PAGE   \* MERGEFORMAT </w:instrText>
          </w:r>
          <w:r w:rsidR="00927164" w:rsidRPr="004C3C86">
            <w:fldChar w:fldCharType="separate"/>
          </w:r>
          <w:r w:rsidR="00A33D39" w:rsidRPr="004C3C86">
            <w:rPr>
              <w:noProof/>
            </w:rPr>
            <w:t>1</w:t>
          </w:r>
          <w:r w:rsidR="00927164" w:rsidRPr="004C3C86">
            <w:fldChar w:fldCharType="end"/>
          </w:r>
          <w:r w:rsidRPr="004C3C86">
            <w:t>/</w:t>
          </w:r>
          <w:fldSimple w:instr=" NUMPAGES   \* MERGEFORMAT ">
            <w:r w:rsidR="00A33D39" w:rsidRPr="004C3C86">
              <w:rPr>
                <w:noProof/>
              </w:rPr>
              <w:t>1</w:t>
            </w:r>
          </w:fldSimple>
        </w:p>
        <w:p w14:paraId="0F97824D" w14:textId="77777777" w:rsidR="00D01B5D" w:rsidRPr="004C3C86" w:rsidRDefault="00D01B5D" w:rsidP="00D01B5D">
          <w:pPr>
            <w:pStyle w:val="Footer"/>
            <w:jc w:val="right"/>
          </w:pPr>
        </w:p>
      </w:tc>
    </w:tr>
  </w:tbl>
  <w:p w14:paraId="25420D6C" w14:textId="77777777" w:rsidR="00D01B5D" w:rsidRPr="004C3C86" w:rsidRDefault="00D01B5D" w:rsidP="00B844FB">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3C19F" w14:textId="77777777" w:rsidR="00CB0669" w:rsidRDefault="00CB0669" w:rsidP="00D01B5D">
      <w:pPr>
        <w:spacing w:after="0" w:line="240" w:lineRule="auto"/>
      </w:pPr>
      <w:r>
        <w:separator/>
      </w:r>
    </w:p>
  </w:footnote>
  <w:footnote w:type="continuationSeparator" w:id="0">
    <w:p w14:paraId="507DF6B1" w14:textId="77777777" w:rsidR="00CB0669" w:rsidRDefault="00CB0669" w:rsidP="00D01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F7207" w14:textId="281BF669" w:rsidR="00D01B5D" w:rsidRDefault="002C37D5" w:rsidP="00B20814">
    <w:pPr>
      <w:pStyle w:val="Header"/>
      <w:jc w:val="center"/>
      <w:rPr>
        <w:noProof/>
      </w:rPr>
    </w:pPr>
    <w:r>
      <w:rPr>
        <w:noProof/>
      </w:rPr>
      <w:drawing>
        <wp:inline distT="0" distB="0" distL="0" distR="0" wp14:anchorId="1A6B7649" wp14:editId="69A633BE">
          <wp:extent cx="3443605" cy="724535"/>
          <wp:effectExtent l="0" t="0" r="0" b="0"/>
          <wp:docPr id="12555351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43605" cy="724535"/>
                  </a:xfrm>
                  <a:prstGeom prst="rect">
                    <a:avLst/>
                  </a:prstGeom>
                  <a:noFill/>
                  <a:ln>
                    <a:noFill/>
                  </a:ln>
                </pic:spPr>
              </pic:pic>
            </a:graphicData>
          </a:graphic>
        </wp:inline>
      </w:drawing>
    </w:r>
    <w:r w:rsidR="00B20814">
      <w:rPr>
        <w:noProof/>
      </w:rPr>
      <w:tab/>
    </w:r>
    <w:r w:rsidR="00B667F0" w:rsidRPr="00B667F0">
      <w:rPr>
        <w:noProof/>
      </w:rPr>
      <w:drawing>
        <wp:inline distT="0" distB="0" distL="0" distR="0" wp14:anchorId="3F61281F" wp14:editId="5F98FDDE">
          <wp:extent cx="720000" cy="720000"/>
          <wp:effectExtent l="0" t="0" r="0" b="0"/>
          <wp:docPr id="20010737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411638" name=""/>
                  <pic:cNvPicPr/>
                </pic:nvPicPr>
                <pic:blipFill>
                  <a:blip r:embed="rId2"/>
                  <a:stretch>
                    <a:fillRect/>
                  </a:stretch>
                </pic:blipFill>
                <pic:spPr>
                  <a:xfrm>
                    <a:off x="0" y="0"/>
                    <a:ext cx="720000" cy="72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64358"/>
    <w:multiLevelType w:val="hybridMultilevel"/>
    <w:tmpl w:val="AF54D818"/>
    <w:lvl w:ilvl="0" w:tplc="AA26FEFC">
      <w:start w:val="1"/>
      <w:numFmt w:val="bullet"/>
      <w:lvlText w:val="□"/>
      <w:lvlJc w:val="left"/>
      <w:pPr>
        <w:ind w:left="1060" w:hanging="360"/>
      </w:pPr>
      <w:rPr>
        <w:rFonts w:ascii="Courier New" w:hAnsi="Courier New"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 w15:restartNumberingAfterBreak="0">
    <w:nsid w:val="0BD10839"/>
    <w:multiLevelType w:val="hybridMultilevel"/>
    <w:tmpl w:val="416E85B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E62A87"/>
    <w:multiLevelType w:val="hybridMultilevel"/>
    <w:tmpl w:val="5B06510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AB4688"/>
    <w:multiLevelType w:val="hybridMultilevel"/>
    <w:tmpl w:val="304AEF3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1537814">
    <w:abstractNumId w:val="0"/>
  </w:num>
  <w:num w:numId="2" w16cid:durableId="329412983">
    <w:abstractNumId w:val="2"/>
  </w:num>
  <w:num w:numId="3" w16cid:durableId="983631184">
    <w:abstractNumId w:val="3"/>
  </w:num>
  <w:num w:numId="4" w16cid:durableId="1683752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B5D"/>
    <w:rsid w:val="00002077"/>
    <w:rsid w:val="000179F0"/>
    <w:rsid w:val="00025EBA"/>
    <w:rsid w:val="00026352"/>
    <w:rsid w:val="00032D1B"/>
    <w:rsid w:val="00073476"/>
    <w:rsid w:val="00097F83"/>
    <w:rsid w:val="000B654A"/>
    <w:rsid w:val="00101D66"/>
    <w:rsid w:val="00105F40"/>
    <w:rsid w:val="00127773"/>
    <w:rsid w:val="00136E5B"/>
    <w:rsid w:val="001A1854"/>
    <w:rsid w:val="001E083A"/>
    <w:rsid w:val="002021D4"/>
    <w:rsid w:val="00234435"/>
    <w:rsid w:val="00245B72"/>
    <w:rsid w:val="00257314"/>
    <w:rsid w:val="00260CB7"/>
    <w:rsid w:val="0026126D"/>
    <w:rsid w:val="002B3F79"/>
    <w:rsid w:val="002C37D5"/>
    <w:rsid w:val="002F60B0"/>
    <w:rsid w:val="0032379E"/>
    <w:rsid w:val="0034098E"/>
    <w:rsid w:val="00342ECC"/>
    <w:rsid w:val="00343F1D"/>
    <w:rsid w:val="003440D6"/>
    <w:rsid w:val="00344A7E"/>
    <w:rsid w:val="00353042"/>
    <w:rsid w:val="00355705"/>
    <w:rsid w:val="003C4F21"/>
    <w:rsid w:val="003E6A49"/>
    <w:rsid w:val="003E6C16"/>
    <w:rsid w:val="00466521"/>
    <w:rsid w:val="004A23A1"/>
    <w:rsid w:val="004B5980"/>
    <w:rsid w:val="004C3C86"/>
    <w:rsid w:val="004E704E"/>
    <w:rsid w:val="0051738D"/>
    <w:rsid w:val="00537090"/>
    <w:rsid w:val="005C48D0"/>
    <w:rsid w:val="005D0284"/>
    <w:rsid w:val="005E5EFD"/>
    <w:rsid w:val="0062009F"/>
    <w:rsid w:val="0065178E"/>
    <w:rsid w:val="00672C41"/>
    <w:rsid w:val="006C4FF9"/>
    <w:rsid w:val="006E0BB5"/>
    <w:rsid w:val="006E21D8"/>
    <w:rsid w:val="006E689F"/>
    <w:rsid w:val="00781672"/>
    <w:rsid w:val="007968C6"/>
    <w:rsid w:val="007B086D"/>
    <w:rsid w:val="0081629C"/>
    <w:rsid w:val="00853E5D"/>
    <w:rsid w:val="00862186"/>
    <w:rsid w:val="008B1598"/>
    <w:rsid w:val="008B1ABE"/>
    <w:rsid w:val="008B1CC8"/>
    <w:rsid w:val="008B4A7F"/>
    <w:rsid w:val="00901E8B"/>
    <w:rsid w:val="00905AE9"/>
    <w:rsid w:val="0091624E"/>
    <w:rsid w:val="009261C4"/>
    <w:rsid w:val="00927164"/>
    <w:rsid w:val="00936223"/>
    <w:rsid w:val="009A1BD0"/>
    <w:rsid w:val="009C09C1"/>
    <w:rsid w:val="009D7ECC"/>
    <w:rsid w:val="00A26764"/>
    <w:rsid w:val="00A33D39"/>
    <w:rsid w:val="00A45E0C"/>
    <w:rsid w:val="00AC3EBF"/>
    <w:rsid w:val="00AD6490"/>
    <w:rsid w:val="00AF2B49"/>
    <w:rsid w:val="00AF7A9C"/>
    <w:rsid w:val="00B20814"/>
    <w:rsid w:val="00B56993"/>
    <w:rsid w:val="00B667F0"/>
    <w:rsid w:val="00B844FB"/>
    <w:rsid w:val="00B90434"/>
    <w:rsid w:val="00BC5C76"/>
    <w:rsid w:val="00BF0339"/>
    <w:rsid w:val="00C02C31"/>
    <w:rsid w:val="00C3616A"/>
    <w:rsid w:val="00C6270B"/>
    <w:rsid w:val="00C96ADD"/>
    <w:rsid w:val="00CA167D"/>
    <w:rsid w:val="00CB0669"/>
    <w:rsid w:val="00CB59F9"/>
    <w:rsid w:val="00CE37A4"/>
    <w:rsid w:val="00D01B5D"/>
    <w:rsid w:val="00D02D72"/>
    <w:rsid w:val="00D26A73"/>
    <w:rsid w:val="00D93F42"/>
    <w:rsid w:val="00DE722A"/>
    <w:rsid w:val="00DF1CCA"/>
    <w:rsid w:val="00E05097"/>
    <w:rsid w:val="00E10D5C"/>
    <w:rsid w:val="00E37987"/>
    <w:rsid w:val="00E831C2"/>
    <w:rsid w:val="00EC704F"/>
    <w:rsid w:val="00ED1CDE"/>
    <w:rsid w:val="00EE5059"/>
    <w:rsid w:val="00EF5F1B"/>
    <w:rsid w:val="00F044CE"/>
    <w:rsid w:val="00F04FD4"/>
    <w:rsid w:val="00F20DBB"/>
    <w:rsid w:val="00F21E31"/>
    <w:rsid w:val="00F26334"/>
    <w:rsid w:val="00F669FE"/>
    <w:rsid w:val="00F817AF"/>
    <w:rsid w:val="00FB485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1BB5DDD"/>
  <w15:docId w15:val="{450E0911-9738-465E-91ED-2D08D93C3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98E"/>
  </w:style>
  <w:style w:type="paragraph" w:styleId="Heading1">
    <w:name w:val="heading 1"/>
    <w:basedOn w:val="Normal"/>
    <w:next w:val="Normal"/>
    <w:link w:val="Heading1Char"/>
    <w:uiPriority w:val="9"/>
    <w:qFormat/>
    <w:rsid w:val="00FB485E"/>
    <w:pPr>
      <w:keepNext/>
      <w:keepLines/>
      <w:spacing w:before="240" w:after="0" w:line="256"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B5D"/>
    <w:pPr>
      <w:tabs>
        <w:tab w:val="center" w:pos="4536"/>
        <w:tab w:val="right" w:pos="9072"/>
      </w:tabs>
      <w:spacing w:after="0" w:line="240" w:lineRule="auto"/>
    </w:pPr>
  </w:style>
  <w:style w:type="character" w:customStyle="1" w:styleId="HeaderChar">
    <w:name w:val="Header Char"/>
    <w:basedOn w:val="DefaultParagraphFont"/>
    <w:link w:val="Header"/>
    <w:uiPriority w:val="99"/>
    <w:rsid w:val="00D01B5D"/>
  </w:style>
  <w:style w:type="paragraph" w:styleId="Footer">
    <w:name w:val="footer"/>
    <w:basedOn w:val="Normal"/>
    <w:link w:val="FooterChar"/>
    <w:uiPriority w:val="99"/>
    <w:unhideWhenUsed/>
    <w:rsid w:val="00D01B5D"/>
    <w:pPr>
      <w:tabs>
        <w:tab w:val="center" w:pos="4536"/>
        <w:tab w:val="right" w:pos="9072"/>
      </w:tabs>
      <w:spacing w:after="0" w:line="240" w:lineRule="auto"/>
    </w:pPr>
  </w:style>
  <w:style w:type="character" w:customStyle="1" w:styleId="FooterChar">
    <w:name w:val="Footer Char"/>
    <w:basedOn w:val="DefaultParagraphFont"/>
    <w:link w:val="Footer"/>
    <w:uiPriority w:val="99"/>
    <w:rsid w:val="00D01B5D"/>
  </w:style>
  <w:style w:type="table" w:styleId="TableGrid">
    <w:name w:val="Table Grid"/>
    <w:basedOn w:val="TableNormal"/>
    <w:uiPriority w:val="59"/>
    <w:rsid w:val="00D01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44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4FB"/>
    <w:rPr>
      <w:rFonts w:ascii="Segoe UI" w:hAnsi="Segoe UI" w:cs="Segoe UI"/>
      <w:sz w:val="18"/>
      <w:szCs w:val="18"/>
    </w:rPr>
  </w:style>
  <w:style w:type="character" w:customStyle="1" w:styleId="Heading1Char">
    <w:name w:val="Heading 1 Char"/>
    <w:basedOn w:val="DefaultParagraphFont"/>
    <w:link w:val="Heading1"/>
    <w:uiPriority w:val="9"/>
    <w:rsid w:val="00FB485E"/>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FB485E"/>
    <w:pPr>
      <w:ind w:left="720"/>
      <w:contextualSpacing/>
    </w:pPr>
  </w:style>
  <w:style w:type="character" w:styleId="IntenseReference">
    <w:name w:val="Intense Reference"/>
    <w:uiPriority w:val="32"/>
    <w:qFormat/>
    <w:rsid w:val="00FB485E"/>
    <w:rPr>
      <w:b/>
      <w:bCs/>
      <w:smallCaps/>
      <w:color w:val="5B9BD5"/>
      <w:spacing w:val="5"/>
    </w:rPr>
  </w:style>
  <w:style w:type="table" w:customStyle="1" w:styleId="TableGrid1">
    <w:name w:val="Table Grid1"/>
    <w:basedOn w:val="TableNormal"/>
    <w:next w:val="TableGrid"/>
    <w:uiPriority w:val="59"/>
    <w:rsid w:val="00FB485E"/>
    <w:pPr>
      <w:suppressAutoHyphens/>
      <w:spacing w:after="0" w:line="240" w:lineRule="auto"/>
      <w:ind w:left="340"/>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FB485E"/>
    <w:pPr>
      <w:spacing w:after="0" w:line="240" w:lineRule="auto"/>
    </w:pPr>
    <w:rPr>
      <w:sz w:val="20"/>
      <w:szCs w:val="20"/>
    </w:rPr>
  </w:style>
  <w:style w:type="character" w:customStyle="1" w:styleId="FootnoteTextChar">
    <w:name w:val="Footnote Text Char"/>
    <w:basedOn w:val="DefaultParagraphFont"/>
    <w:link w:val="FootnoteText"/>
    <w:uiPriority w:val="99"/>
    <w:rsid w:val="00FB485E"/>
    <w:rPr>
      <w:sz w:val="20"/>
      <w:szCs w:val="20"/>
    </w:rPr>
  </w:style>
  <w:style w:type="character" w:styleId="FootnoteReference">
    <w:name w:val="footnote reference"/>
    <w:basedOn w:val="DefaultParagraphFont"/>
    <w:uiPriority w:val="99"/>
    <w:semiHidden/>
    <w:unhideWhenUsed/>
    <w:rsid w:val="00FB48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83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16D84-B790-466A-B4B8-225593F7E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955</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dc:creator>
  <cp:keywords/>
  <dc:description/>
  <cp:lastModifiedBy>Assoc Tehnic</cp:lastModifiedBy>
  <cp:revision>19</cp:revision>
  <cp:lastPrinted>2024-07-09T15:22:00Z</cp:lastPrinted>
  <dcterms:created xsi:type="dcterms:W3CDTF">2024-07-01T18:36:00Z</dcterms:created>
  <dcterms:modified xsi:type="dcterms:W3CDTF">2025-04-02T12:53:00Z</dcterms:modified>
</cp:coreProperties>
</file>